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3D5153" w:rsidRPr="003B363C" w:rsidTr="005F0452">
        <w:trPr>
          <w:jc w:val="center"/>
        </w:trPr>
        <w:sdt>
          <w:sdtPr>
            <w:rPr>
              <w:rFonts w:ascii="FrankRuehl" w:hAnsi="FrankRuehl" w:cs="FrankRuehl"/>
              <w:b/>
              <w:bCs/>
              <w:noProof w:val="0"/>
              <w:sz w:val="28"/>
              <w:szCs w:val="28"/>
            </w:rPr>
            <w:alias w:val="1180"/>
            <w:tag w:val="1180"/>
            <w:id w:val="108787784"/>
            <w:placeholder>
              <w:docPart w:val="969C13C386594638AFE1EF939D16F24A"/>
            </w:placeholder>
            <w:text w:multiLine="1"/>
          </w:sdtPr>
          <w:sdtEndPr/>
          <w:sdtContent>
            <w:tc>
              <w:tcPr>
                <w:tcW w:w="3249" w:type="dxa"/>
              </w:tcPr>
              <w:p w:rsidR="003D5153" w:rsidRPr="00A910A1" w:rsidRDefault="003D5153" w:rsidP="005F0452">
                <w:pPr>
                  <w:bidi w:val="0"/>
                  <w:jc w:val="right"/>
                  <w:rPr>
                    <w:rFonts w:ascii="FrankRuehl" w:hAnsi="FrankRuehl" w:cs="FrankRuehl"/>
                    <w:b/>
                    <w:bCs/>
                    <w:noProof w:val="0"/>
                    <w:sz w:val="28"/>
                    <w:szCs w:val="28"/>
                  </w:rPr>
                </w:pPr>
                <w:r w:rsidRPr="00A910A1">
                  <w:rPr>
                    <w:rFonts w:ascii="FrankRuehl" w:hAnsi="FrankRuehl" w:cs="FrankRuehl"/>
                    <w:b/>
                    <w:bCs/>
                    <w:noProof w:val="0"/>
                    <w:sz w:val="28"/>
                    <w:szCs w:val="28"/>
                    <w:rtl/>
                  </w:rPr>
                  <w:t>התובע:</w:t>
                </w:r>
              </w:p>
            </w:tc>
          </w:sdtContent>
        </w:sdt>
        <w:tc>
          <w:tcPr>
            <w:tcW w:w="5571" w:type="dxa"/>
          </w:tcPr>
          <w:p w:rsidR="003D5153" w:rsidRPr="003D5153" w:rsidRDefault="00EE7D64" w:rsidP="003D5153">
            <w:pPr>
              <w:rPr>
                <w:rFonts w:ascii="FrankRuehl" w:hAnsi="FrankRuehl" w:cs="FrankRuehl"/>
                <w:b/>
                <w:bCs/>
                <w:noProof w:val="0"/>
                <w:sz w:val="28"/>
                <w:szCs w:val="28"/>
                <w:rtl/>
              </w:rPr>
            </w:pPr>
            <w:sdt>
              <w:sdtPr>
                <w:rPr>
                  <w:rFonts w:ascii="FrankRuehl" w:hAnsi="FrankRuehl" w:cs="FrankRuehl"/>
                  <w:b/>
                  <w:bCs/>
                  <w:noProof w:val="0"/>
                  <w:sz w:val="28"/>
                  <w:szCs w:val="28"/>
                  <w:rtl/>
                </w:rPr>
                <w:alias w:val="1478"/>
                <w:tag w:val="1478"/>
                <w:id w:val="614022805"/>
                <w:text w:multiLine="1"/>
              </w:sdtPr>
              <w:sdtEndPr/>
              <w:sdtContent>
                <w:r w:rsidR="003D5153" w:rsidRPr="003D5153">
                  <w:rPr>
                    <w:rStyle w:val="a9"/>
                    <w:rFonts w:ascii="FrankRuehl" w:hAnsi="FrankRuehl" w:cs="FrankRuehl"/>
                    <w:b/>
                    <w:bCs/>
                    <w:color w:val="auto"/>
                    <w:sz w:val="28"/>
                    <w:szCs w:val="28"/>
                    <w:rtl/>
                  </w:rPr>
                  <w:t>צ</w:t>
                </w:r>
                <w:r w:rsidR="003D5153" w:rsidRPr="003D5153">
                  <w:rPr>
                    <w:rStyle w:val="a9"/>
                    <w:rFonts w:ascii="FrankRuehl" w:hAnsi="FrankRuehl" w:cs="FrankRuehl" w:hint="cs"/>
                    <w:b/>
                    <w:bCs/>
                    <w:color w:val="auto"/>
                    <w:sz w:val="28"/>
                    <w:szCs w:val="28"/>
                    <w:rtl/>
                  </w:rPr>
                  <w:t>.</w:t>
                </w:r>
                <w:r w:rsidR="003D5153" w:rsidRPr="003D5153">
                  <w:rPr>
                    <w:rStyle w:val="a9"/>
                    <w:rFonts w:ascii="FrankRuehl" w:hAnsi="FrankRuehl" w:cs="FrankRuehl"/>
                    <w:b/>
                    <w:bCs/>
                    <w:color w:val="auto"/>
                    <w:sz w:val="28"/>
                    <w:szCs w:val="28"/>
                    <w:rtl/>
                  </w:rPr>
                  <w:t xml:space="preserve"> ש</w:t>
                </w:r>
                <w:r w:rsidR="003D5153" w:rsidRPr="003D5153">
                  <w:rPr>
                    <w:rStyle w:val="a9"/>
                    <w:rFonts w:ascii="FrankRuehl" w:hAnsi="FrankRuehl" w:cs="FrankRuehl" w:hint="cs"/>
                    <w:b/>
                    <w:bCs/>
                    <w:color w:val="auto"/>
                    <w:sz w:val="28"/>
                    <w:szCs w:val="28"/>
                    <w:rtl/>
                  </w:rPr>
                  <w:t>.</w:t>
                </w:r>
                <w:r w:rsidR="003D5153" w:rsidRPr="003D5153">
                  <w:rPr>
                    <w:rStyle w:val="a9"/>
                    <w:rFonts w:ascii="FrankRuehl" w:hAnsi="FrankRuehl" w:cs="FrankRuehl"/>
                    <w:b/>
                    <w:bCs/>
                    <w:color w:val="auto"/>
                    <w:sz w:val="28"/>
                    <w:szCs w:val="28"/>
                    <w:rtl/>
                  </w:rPr>
                  <w:t xml:space="preserve"> ל</w:t>
                </w:r>
                <w:r w:rsidR="003D5153" w:rsidRPr="003D5153">
                  <w:rPr>
                    <w:rStyle w:val="a9"/>
                    <w:rFonts w:ascii="FrankRuehl" w:hAnsi="FrankRuehl" w:cs="FrankRuehl" w:hint="cs"/>
                    <w:b/>
                    <w:bCs/>
                    <w:color w:val="auto"/>
                    <w:sz w:val="28"/>
                    <w:szCs w:val="28"/>
                    <w:rtl/>
                  </w:rPr>
                  <w:t>.</w:t>
                </w:r>
              </w:sdtContent>
            </w:sdt>
          </w:p>
          <w:p w:rsidR="003D5153" w:rsidRPr="00A910A1" w:rsidRDefault="003D5153" w:rsidP="005F0452">
            <w:pPr>
              <w:rPr>
                <w:rFonts w:ascii="FrankRuehl" w:hAnsi="FrankRuehl" w:cs="FrankRuehl"/>
                <w:noProof w:val="0"/>
                <w:sz w:val="28"/>
                <w:szCs w:val="28"/>
              </w:rPr>
            </w:pPr>
            <w:r w:rsidRPr="00A910A1">
              <w:rPr>
                <w:rFonts w:ascii="FrankRuehl" w:hAnsi="FrankRuehl" w:cs="FrankRuehl"/>
                <w:noProof w:val="0"/>
                <w:sz w:val="28"/>
                <w:szCs w:val="28"/>
                <w:rtl/>
              </w:rPr>
              <w:t>על-ידי ב</w:t>
            </w:r>
            <w:r>
              <w:rPr>
                <w:rFonts w:ascii="FrankRuehl" w:hAnsi="FrankRuehl" w:cs="FrankRuehl" w:hint="cs"/>
                <w:noProof w:val="0"/>
                <w:sz w:val="28"/>
                <w:szCs w:val="28"/>
                <w:rtl/>
              </w:rPr>
              <w:t xml:space="preserve">א כוחו, </w:t>
            </w:r>
            <w:r w:rsidRPr="00A910A1">
              <w:rPr>
                <w:rFonts w:ascii="FrankRuehl" w:hAnsi="FrankRuehl" w:cs="FrankRuehl"/>
                <w:noProof w:val="0"/>
                <w:sz w:val="28"/>
                <w:szCs w:val="28"/>
                <w:rtl/>
              </w:rPr>
              <w:t>עו</w:t>
            </w:r>
            <w:r>
              <w:rPr>
                <w:rFonts w:ascii="FrankRuehl" w:hAnsi="FrankRuehl" w:cs="FrankRuehl" w:hint="cs"/>
                <w:noProof w:val="0"/>
                <w:sz w:val="28"/>
                <w:szCs w:val="28"/>
                <w:rtl/>
              </w:rPr>
              <w:t xml:space="preserve">רך דין </w:t>
            </w:r>
            <w:r w:rsidRPr="00A910A1">
              <w:rPr>
                <w:rFonts w:ascii="FrankRuehl" w:hAnsi="FrankRuehl" w:cs="FrankRuehl"/>
                <w:noProof w:val="0"/>
                <w:sz w:val="28"/>
                <w:szCs w:val="28"/>
                <w:rtl/>
              </w:rPr>
              <w:t>מיכה צמיר</w:t>
            </w:r>
          </w:p>
        </w:tc>
      </w:tr>
      <w:tr w:rsidR="003D5153" w:rsidRPr="003B363C" w:rsidTr="005F0452">
        <w:trPr>
          <w:jc w:val="center"/>
        </w:trPr>
        <w:tc>
          <w:tcPr>
            <w:tcW w:w="8820" w:type="dxa"/>
            <w:gridSpan w:val="2"/>
          </w:tcPr>
          <w:p w:rsidR="003D5153" w:rsidRPr="00383352" w:rsidRDefault="003D5153" w:rsidP="005F0452">
            <w:pPr>
              <w:rPr>
                <w:rFonts w:ascii="FrankRuehl" w:hAnsi="FrankRuehl" w:cs="FrankRuehl"/>
                <w:b/>
                <w:bCs/>
                <w:noProof w:val="0"/>
                <w:sz w:val="28"/>
                <w:szCs w:val="28"/>
                <w:rtl/>
              </w:rPr>
            </w:pPr>
          </w:p>
          <w:p w:rsidR="003D5153" w:rsidRPr="00A910A1" w:rsidRDefault="003D5153" w:rsidP="005F0452">
            <w:pPr>
              <w:jc w:val="center"/>
              <w:rPr>
                <w:rFonts w:ascii="FrankRuehl" w:hAnsi="FrankRuehl" w:cs="FrankRuehl"/>
                <w:b/>
                <w:bCs/>
                <w:noProof w:val="0"/>
                <w:sz w:val="28"/>
                <w:szCs w:val="28"/>
                <w:rtl/>
              </w:rPr>
            </w:pPr>
            <w:r w:rsidRPr="00A910A1">
              <w:rPr>
                <w:rFonts w:ascii="FrankRuehl" w:hAnsi="FrankRuehl" w:cs="FrankRuehl"/>
                <w:b/>
                <w:bCs/>
                <w:noProof w:val="0"/>
                <w:sz w:val="28"/>
                <w:szCs w:val="28"/>
                <w:rtl/>
              </w:rPr>
              <w:t>נגד</w:t>
            </w:r>
          </w:p>
          <w:p w:rsidR="003D5153" w:rsidRPr="00A910A1" w:rsidRDefault="003D5153" w:rsidP="005F0452">
            <w:pPr>
              <w:rPr>
                <w:rFonts w:ascii="FrankRuehl" w:hAnsi="FrankRuehl" w:cs="FrankRuehl"/>
                <w:b/>
                <w:bCs/>
                <w:noProof w:val="0"/>
                <w:sz w:val="28"/>
                <w:szCs w:val="28"/>
              </w:rPr>
            </w:pPr>
          </w:p>
        </w:tc>
      </w:tr>
      <w:tr w:rsidR="003D5153" w:rsidRPr="003B363C" w:rsidTr="005F0452">
        <w:trPr>
          <w:jc w:val="center"/>
        </w:trPr>
        <w:tc>
          <w:tcPr>
            <w:tcW w:w="3249" w:type="dxa"/>
          </w:tcPr>
          <w:p w:rsidR="003D5153" w:rsidRPr="00A910A1" w:rsidRDefault="00EE7D64" w:rsidP="005F0452">
            <w:pPr>
              <w:rPr>
                <w:rFonts w:ascii="FrankRuehl" w:hAnsi="FrankRuehl" w:cs="FrankRuehl"/>
                <w:b/>
                <w:bCs/>
                <w:noProof w:val="0"/>
                <w:sz w:val="28"/>
                <w:szCs w:val="28"/>
              </w:rPr>
            </w:pPr>
            <w:sdt>
              <w:sdtPr>
                <w:rPr>
                  <w:rFonts w:ascii="FrankRuehl" w:hAnsi="FrankRuehl" w:cs="FrankRuehl"/>
                  <w:sz w:val="28"/>
                  <w:szCs w:val="28"/>
                  <w:rtl/>
                </w:rPr>
                <w:alias w:val="1184"/>
                <w:tag w:val="1184"/>
                <w:id w:val="1218863978"/>
                <w:text w:multiLine="1"/>
              </w:sdtPr>
              <w:sdtEndPr/>
              <w:sdtContent>
                <w:r w:rsidR="003D5153" w:rsidRPr="00A910A1">
                  <w:rPr>
                    <w:rFonts w:ascii="FrankRuehl" w:hAnsi="FrankRuehl" w:cs="FrankRuehl"/>
                    <w:b/>
                    <w:bCs/>
                    <w:noProof w:val="0"/>
                    <w:sz w:val="28"/>
                    <w:szCs w:val="28"/>
                    <w:rtl/>
                  </w:rPr>
                  <w:t>הנתבע:</w:t>
                </w:r>
              </w:sdtContent>
            </w:sdt>
          </w:p>
        </w:tc>
        <w:tc>
          <w:tcPr>
            <w:tcW w:w="5571" w:type="dxa"/>
          </w:tcPr>
          <w:p w:rsidR="003D5153" w:rsidRPr="003D5153" w:rsidRDefault="00EE7D64" w:rsidP="003D5153">
            <w:pPr>
              <w:rPr>
                <w:rFonts w:ascii="FrankRuehl" w:hAnsi="FrankRuehl" w:cs="FrankRuehl"/>
                <w:b/>
                <w:bCs/>
                <w:noProof w:val="0"/>
                <w:sz w:val="28"/>
                <w:szCs w:val="28"/>
                <w:rtl/>
              </w:rPr>
            </w:pPr>
            <w:sdt>
              <w:sdtPr>
                <w:rPr>
                  <w:rFonts w:ascii="FrankRuehl" w:hAnsi="FrankRuehl" w:cs="FrankRuehl"/>
                  <w:b/>
                  <w:bCs/>
                  <w:noProof w:val="0"/>
                  <w:sz w:val="28"/>
                  <w:szCs w:val="28"/>
                  <w:rtl/>
                </w:rPr>
                <w:alias w:val="1486"/>
                <w:tag w:val="1486"/>
                <w:id w:val="-306934935"/>
                <w:text w:multiLine="1"/>
              </w:sdtPr>
              <w:sdtEndPr/>
              <w:sdtContent>
                <w:r w:rsidR="003D5153" w:rsidRPr="003D5153">
                  <w:rPr>
                    <w:rStyle w:val="a9"/>
                    <w:rFonts w:ascii="FrankRuehl" w:hAnsi="FrankRuehl" w:cs="FrankRuehl"/>
                    <w:b/>
                    <w:bCs/>
                    <w:color w:val="auto"/>
                    <w:sz w:val="28"/>
                    <w:szCs w:val="28"/>
                    <w:rtl/>
                  </w:rPr>
                  <w:t>י</w:t>
                </w:r>
                <w:r w:rsidR="003D5153" w:rsidRPr="003D5153">
                  <w:rPr>
                    <w:rStyle w:val="a9"/>
                    <w:rFonts w:ascii="FrankRuehl" w:hAnsi="FrankRuehl" w:cs="FrankRuehl" w:hint="cs"/>
                    <w:b/>
                    <w:bCs/>
                    <w:color w:val="auto"/>
                    <w:sz w:val="28"/>
                    <w:szCs w:val="28"/>
                    <w:rtl/>
                  </w:rPr>
                  <w:t>.</w:t>
                </w:r>
                <w:r w:rsidR="003D5153" w:rsidRPr="003D5153">
                  <w:rPr>
                    <w:rStyle w:val="a9"/>
                    <w:rFonts w:ascii="FrankRuehl" w:hAnsi="FrankRuehl" w:cs="FrankRuehl"/>
                    <w:b/>
                    <w:bCs/>
                    <w:color w:val="auto"/>
                    <w:sz w:val="28"/>
                    <w:szCs w:val="28"/>
                    <w:rtl/>
                  </w:rPr>
                  <w:t xml:space="preserve"> ג</w:t>
                </w:r>
                <w:r w:rsidR="003D5153" w:rsidRPr="003D5153">
                  <w:rPr>
                    <w:rStyle w:val="a9"/>
                    <w:rFonts w:ascii="FrankRuehl" w:hAnsi="FrankRuehl" w:cs="FrankRuehl" w:hint="cs"/>
                    <w:b/>
                    <w:bCs/>
                    <w:color w:val="auto"/>
                    <w:sz w:val="28"/>
                    <w:szCs w:val="28"/>
                    <w:rtl/>
                  </w:rPr>
                  <w:t>.</w:t>
                </w:r>
                <w:r w:rsidR="003D5153" w:rsidRPr="003D5153">
                  <w:rPr>
                    <w:rStyle w:val="a9"/>
                    <w:rFonts w:ascii="FrankRuehl" w:hAnsi="FrankRuehl" w:cs="FrankRuehl"/>
                    <w:b/>
                    <w:bCs/>
                    <w:color w:val="auto"/>
                    <w:sz w:val="28"/>
                    <w:szCs w:val="28"/>
                    <w:rtl/>
                  </w:rPr>
                  <w:t xml:space="preserve"> (מנהל עיזבון)</w:t>
                </w:r>
              </w:sdtContent>
            </w:sdt>
          </w:p>
          <w:p w:rsidR="003D5153" w:rsidRPr="00A910A1" w:rsidRDefault="003D5153" w:rsidP="005F0452">
            <w:pPr>
              <w:spacing w:line="360" w:lineRule="auto"/>
              <w:rPr>
                <w:rFonts w:ascii="FrankRuehl" w:hAnsi="FrankRuehl" w:cs="FrankRuehl"/>
                <w:noProof w:val="0"/>
                <w:sz w:val="28"/>
                <w:szCs w:val="28"/>
                <w:rtl/>
              </w:rPr>
            </w:pPr>
            <w:r w:rsidRPr="00A910A1">
              <w:rPr>
                <w:rFonts w:ascii="FrankRuehl" w:hAnsi="FrankRuehl" w:cs="FrankRuehl"/>
                <w:noProof w:val="0"/>
                <w:sz w:val="28"/>
                <w:szCs w:val="28"/>
                <w:rtl/>
              </w:rPr>
              <w:t>על-ידי ב</w:t>
            </w:r>
            <w:r>
              <w:rPr>
                <w:rFonts w:ascii="FrankRuehl" w:hAnsi="FrankRuehl" w:cs="FrankRuehl" w:hint="cs"/>
                <w:noProof w:val="0"/>
                <w:sz w:val="28"/>
                <w:szCs w:val="28"/>
                <w:rtl/>
              </w:rPr>
              <w:t xml:space="preserve">את כוחו, </w:t>
            </w:r>
            <w:r w:rsidRPr="00A910A1">
              <w:rPr>
                <w:rFonts w:ascii="FrankRuehl" w:hAnsi="FrankRuehl" w:cs="FrankRuehl"/>
                <w:noProof w:val="0"/>
                <w:sz w:val="28"/>
                <w:szCs w:val="28"/>
                <w:rtl/>
              </w:rPr>
              <w:t>עו</w:t>
            </w:r>
            <w:r>
              <w:rPr>
                <w:rFonts w:ascii="FrankRuehl" w:hAnsi="FrankRuehl" w:cs="FrankRuehl" w:hint="cs"/>
                <w:noProof w:val="0"/>
                <w:sz w:val="28"/>
                <w:szCs w:val="28"/>
                <w:rtl/>
              </w:rPr>
              <w:t xml:space="preserve">רכת דין </w:t>
            </w:r>
            <w:r w:rsidRPr="00A910A1">
              <w:rPr>
                <w:rFonts w:ascii="FrankRuehl" w:hAnsi="FrankRuehl" w:cs="FrankRuehl"/>
                <w:noProof w:val="0"/>
                <w:sz w:val="28"/>
                <w:szCs w:val="28"/>
                <w:rtl/>
              </w:rPr>
              <w:t>רויטל כרם</w:t>
            </w:r>
          </w:p>
        </w:tc>
      </w:tr>
      <w:tr w:rsidR="003D5153" w:rsidRPr="003B363C" w:rsidTr="005F0452">
        <w:trPr>
          <w:jc w:val="center"/>
        </w:trPr>
        <w:tc>
          <w:tcPr>
            <w:tcW w:w="3249" w:type="dxa"/>
          </w:tcPr>
          <w:p w:rsidR="003D5153" w:rsidRPr="00A910A1" w:rsidRDefault="003D5153" w:rsidP="005F0452">
            <w:pPr>
              <w:rPr>
                <w:rFonts w:ascii="FrankRuehl" w:hAnsi="FrankRuehl" w:cs="FrankRuehl"/>
                <w:b/>
                <w:bCs/>
                <w:noProof w:val="0"/>
                <w:sz w:val="28"/>
                <w:szCs w:val="28"/>
                <w:rtl/>
              </w:rPr>
            </w:pPr>
          </w:p>
        </w:tc>
        <w:tc>
          <w:tcPr>
            <w:tcW w:w="5571" w:type="dxa"/>
          </w:tcPr>
          <w:p w:rsidR="003D5153" w:rsidRPr="00A910A1" w:rsidRDefault="003D5153" w:rsidP="005F0452">
            <w:pPr>
              <w:rPr>
                <w:rStyle w:val="a9"/>
                <w:rFonts w:ascii="FrankRuehl" w:hAnsi="FrankRuehl" w:cs="FrankRuehl"/>
                <w:b/>
                <w:bCs/>
                <w:sz w:val="28"/>
                <w:szCs w:val="28"/>
                <w:rtl/>
              </w:rPr>
            </w:pPr>
          </w:p>
        </w:tc>
      </w:tr>
      <w:tr w:rsidR="003D5153" w:rsidRPr="003B363C" w:rsidTr="005F0452">
        <w:trPr>
          <w:jc w:val="center"/>
        </w:trPr>
        <w:tc>
          <w:tcPr>
            <w:tcW w:w="3249" w:type="dxa"/>
          </w:tcPr>
          <w:p w:rsidR="003D5153" w:rsidRPr="00A910A1" w:rsidRDefault="003D5153" w:rsidP="005F0452">
            <w:pPr>
              <w:rPr>
                <w:rFonts w:ascii="FrankRuehl" w:hAnsi="FrankRuehl" w:cs="FrankRuehl"/>
                <w:b/>
                <w:bCs/>
                <w:noProof w:val="0"/>
                <w:sz w:val="28"/>
                <w:szCs w:val="28"/>
                <w:rtl/>
              </w:rPr>
            </w:pPr>
            <w:r>
              <w:rPr>
                <w:rFonts w:ascii="FrankRuehl" w:hAnsi="FrankRuehl" w:cs="FrankRuehl" w:hint="cs"/>
                <w:b/>
                <w:bCs/>
                <w:noProof w:val="0"/>
                <w:sz w:val="28"/>
                <w:szCs w:val="28"/>
                <w:rtl/>
              </w:rPr>
              <w:t>האפוטרופא לדין לקטינים:</w:t>
            </w:r>
          </w:p>
        </w:tc>
        <w:tc>
          <w:tcPr>
            <w:tcW w:w="5571" w:type="dxa"/>
          </w:tcPr>
          <w:p w:rsidR="003D5153" w:rsidRPr="00A910A1" w:rsidRDefault="003D5153" w:rsidP="005F0452">
            <w:pPr>
              <w:rPr>
                <w:rStyle w:val="a9"/>
                <w:rFonts w:ascii="FrankRuehl" w:hAnsi="FrankRuehl" w:cs="FrankRuehl"/>
                <w:b/>
                <w:bCs/>
                <w:sz w:val="28"/>
                <w:szCs w:val="28"/>
                <w:rtl/>
              </w:rPr>
            </w:pPr>
            <w:r w:rsidRPr="003D5153">
              <w:rPr>
                <w:rStyle w:val="a9"/>
                <w:rFonts w:ascii="FrankRuehl" w:hAnsi="FrankRuehl" w:cs="FrankRuehl" w:hint="cs"/>
                <w:b/>
                <w:bCs/>
                <w:color w:val="auto"/>
                <w:sz w:val="28"/>
                <w:szCs w:val="28"/>
                <w:rtl/>
              </w:rPr>
              <w:t>עורכת דין קרן ארקין</w:t>
            </w:r>
          </w:p>
        </w:tc>
      </w:tr>
    </w:tbl>
    <w:p w:rsidR="003D5153" w:rsidRDefault="003D5153" w:rsidP="003D5153">
      <w:pPr>
        <w:rPr>
          <w:rFonts w:ascii="FrankRuehl" w:hAnsi="FrankRuehl" w:cs="FrankRuehl"/>
          <w:rtl/>
        </w:rPr>
      </w:pPr>
    </w:p>
    <w:p w:rsidR="003D5153" w:rsidRPr="003B363C" w:rsidRDefault="003D5153" w:rsidP="003D5153">
      <w:pPr>
        <w:rPr>
          <w:rFonts w:ascii="FrankRuehl" w:hAnsi="FrankRuehl" w:cs="FrankRueh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D5153" w:rsidRPr="003B363C" w:rsidTr="005F0452">
        <w:trPr>
          <w:jc w:val="center"/>
        </w:trPr>
        <w:tc>
          <w:tcPr>
            <w:tcW w:w="8820" w:type="dxa"/>
          </w:tcPr>
          <w:p w:rsidR="003D5153" w:rsidRPr="00A910A1" w:rsidRDefault="003D5153" w:rsidP="005F0452">
            <w:pPr>
              <w:bidi w:val="0"/>
              <w:jc w:val="center"/>
              <w:rPr>
                <w:rFonts w:ascii="FrankRuehl" w:hAnsi="FrankRuehl" w:cs="FrankRuehl"/>
                <w:b/>
                <w:bCs/>
                <w:noProof w:val="0"/>
                <w:sz w:val="32"/>
                <w:szCs w:val="32"/>
                <w:u w:val="single"/>
              </w:rPr>
            </w:pPr>
            <w:r w:rsidRPr="00A910A1">
              <w:rPr>
                <w:rFonts w:ascii="FrankRuehl" w:hAnsi="FrankRuehl" w:cs="FrankRuehl"/>
                <w:b/>
                <w:bCs/>
                <w:noProof w:val="0"/>
                <w:sz w:val="32"/>
                <w:szCs w:val="32"/>
                <w:u w:val="single"/>
                <w:rtl/>
              </w:rPr>
              <w:t>פסק דין</w:t>
            </w:r>
          </w:p>
        </w:tc>
      </w:tr>
    </w:tbl>
    <w:p w:rsidR="003D5153" w:rsidRDefault="003D5153" w:rsidP="003D5153">
      <w:pPr>
        <w:spacing w:line="360" w:lineRule="auto"/>
        <w:jc w:val="both"/>
        <w:rPr>
          <w:rFonts w:ascii="FrankRuehl" w:hAnsi="FrankRuehl" w:cs="FrankRuehl"/>
          <w:noProof w:val="0"/>
          <w:sz w:val="28"/>
          <w:szCs w:val="28"/>
          <w:rtl/>
        </w:rPr>
      </w:pPr>
    </w:p>
    <w:p w:rsidR="003D5153" w:rsidRPr="00A910A1" w:rsidRDefault="003D5153" w:rsidP="003D5153">
      <w:pPr>
        <w:spacing w:line="360" w:lineRule="auto"/>
        <w:jc w:val="both"/>
        <w:rPr>
          <w:rFonts w:ascii="FrankRuehl" w:hAnsi="FrankRuehl" w:cs="FrankRuehl"/>
          <w:b/>
          <w:bCs/>
          <w:noProof w:val="0"/>
          <w:sz w:val="28"/>
          <w:szCs w:val="28"/>
          <w:u w:val="single"/>
          <w:rtl/>
        </w:rPr>
      </w:pPr>
      <w:r w:rsidRPr="00A910A1">
        <w:rPr>
          <w:rFonts w:ascii="FrankRuehl" w:hAnsi="FrankRuehl" w:cs="FrankRuehl" w:hint="cs"/>
          <w:b/>
          <w:bCs/>
          <w:noProof w:val="0"/>
          <w:sz w:val="28"/>
          <w:szCs w:val="28"/>
          <w:u w:val="single"/>
          <w:rtl/>
        </w:rPr>
        <w:t>ההליך</w:t>
      </w: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עניינה של התובענה בבקשת התובע למתן סעד הצהרתי ולפיו קיים "שיתוף ספציפי" בדירה נשוא התובענה.</w:t>
      </w:r>
    </w:p>
    <w:p w:rsidR="003D5153" w:rsidRDefault="003D5153" w:rsidP="003D5153">
      <w:pPr>
        <w:pStyle w:val="aa"/>
        <w:spacing w:line="360" w:lineRule="auto"/>
        <w:ind w:left="360"/>
        <w:jc w:val="both"/>
        <w:rPr>
          <w:rFonts w:ascii="FrankRuehl" w:hAnsi="FrankRuehl" w:cs="FrankRuehl"/>
          <w:noProof w:val="0"/>
          <w:sz w:val="28"/>
          <w:szCs w:val="28"/>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סעיף 1 לסיכומי התובע תיאר את תמונת המצב המשפחתית כך: </w:t>
      </w:r>
    </w:p>
    <w:p w:rsidR="003D5153" w:rsidRPr="00347559" w:rsidRDefault="003D5153" w:rsidP="003D5153">
      <w:pPr>
        <w:rPr>
          <w:rFonts w:ascii="FrankRuehl" w:hAnsi="FrankRuehl" w:cs="FrankRuehl"/>
          <w:noProof w:val="0"/>
          <w:sz w:val="22"/>
          <w:szCs w:val="22"/>
          <w:rtl/>
        </w:rPr>
      </w:pPr>
    </w:p>
    <w:p w:rsidR="003D5153" w:rsidRPr="00347559" w:rsidRDefault="003D5153" w:rsidP="003D5153">
      <w:pPr>
        <w:spacing w:line="360" w:lineRule="auto"/>
        <w:ind w:left="1440"/>
        <w:jc w:val="both"/>
        <w:rPr>
          <w:rFonts w:ascii="David" w:hAnsi="David"/>
          <w:b/>
          <w:bCs/>
          <w:i/>
          <w:iCs/>
          <w:noProof w:val="0"/>
          <w:rtl/>
        </w:rPr>
      </w:pPr>
      <w:r w:rsidRPr="00347559">
        <w:rPr>
          <w:rFonts w:ascii="David" w:hAnsi="David"/>
          <w:b/>
          <w:bCs/>
          <w:i/>
          <w:iCs/>
          <w:noProof w:val="0"/>
          <w:rtl/>
        </w:rPr>
        <w:t>"הצדדים ורקע: התובע אלמן מ</w:t>
      </w:r>
      <w:r>
        <w:rPr>
          <w:rFonts w:ascii="David" w:hAnsi="David" w:hint="cs"/>
          <w:b/>
          <w:bCs/>
          <w:i/>
          <w:iCs/>
          <w:noProof w:val="0"/>
          <w:rtl/>
        </w:rPr>
        <w:t>א.</w:t>
      </w:r>
      <w:r w:rsidRPr="00347559">
        <w:rPr>
          <w:rFonts w:ascii="David" w:hAnsi="David"/>
          <w:b/>
          <w:bCs/>
          <w:i/>
          <w:iCs/>
          <w:noProof w:val="0"/>
          <w:rtl/>
        </w:rPr>
        <w:t xml:space="preserve"> ק</w:t>
      </w:r>
      <w:r>
        <w:rPr>
          <w:rFonts w:ascii="David" w:hAnsi="David" w:hint="cs"/>
          <w:b/>
          <w:bCs/>
          <w:i/>
          <w:iCs/>
          <w:noProof w:val="0"/>
          <w:rtl/>
        </w:rPr>
        <w:t>.</w:t>
      </w:r>
      <w:r w:rsidRPr="00347559">
        <w:rPr>
          <w:rFonts w:ascii="David" w:hAnsi="David"/>
          <w:b/>
          <w:bCs/>
          <w:i/>
          <w:iCs/>
          <w:noProof w:val="0"/>
          <w:rtl/>
        </w:rPr>
        <w:t xml:space="preserve"> ז"ל ("</w:t>
      </w:r>
      <w:r>
        <w:rPr>
          <w:rFonts w:ascii="David" w:hAnsi="David" w:hint="cs"/>
          <w:b/>
          <w:bCs/>
          <w:i/>
          <w:iCs/>
          <w:noProof w:val="0"/>
          <w:rtl/>
        </w:rPr>
        <w:t>...</w:t>
      </w:r>
      <w:r w:rsidRPr="00347559">
        <w:rPr>
          <w:rFonts w:ascii="David" w:hAnsi="David"/>
          <w:b/>
          <w:bCs/>
          <w:i/>
          <w:iCs/>
          <w:noProof w:val="0"/>
          <w:rtl/>
        </w:rPr>
        <w:t>", "</w:t>
      </w:r>
      <w:r>
        <w:rPr>
          <w:rFonts w:ascii="David" w:hAnsi="David"/>
          <w:b/>
          <w:bCs/>
          <w:i/>
          <w:iCs/>
          <w:noProof w:val="0"/>
          <w:rtl/>
        </w:rPr>
        <w:t>האשה" או "המנוחה"). התובע וא</w:t>
      </w:r>
      <w:r>
        <w:rPr>
          <w:rFonts w:ascii="David" w:hAnsi="David" w:hint="cs"/>
          <w:b/>
          <w:bCs/>
          <w:i/>
          <w:iCs/>
          <w:noProof w:val="0"/>
          <w:rtl/>
        </w:rPr>
        <w:t>..</w:t>
      </w:r>
      <w:r w:rsidRPr="00347559">
        <w:rPr>
          <w:rFonts w:ascii="David" w:hAnsi="David"/>
          <w:b/>
          <w:bCs/>
          <w:i/>
          <w:iCs/>
          <w:noProof w:val="0"/>
          <w:rtl/>
        </w:rPr>
        <w:t xml:space="preserve"> ילידי שנת </w:t>
      </w:r>
      <w:r>
        <w:rPr>
          <w:rFonts w:ascii="David" w:hAnsi="David" w:hint="cs"/>
          <w:b/>
          <w:bCs/>
          <w:i/>
          <w:iCs/>
          <w:noProof w:val="0"/>
          <w:rtl/>
        </w:rPr>
        <w:t>..</w:t>
      </w:r>
      <w:r w:rsidRPr="00347559">
        <w:rPr>
          <w:rFonts w:ascii="David" w:hAnsi="David"/>
          <w:b/>
          <w:bCs/>
          <w:i/>
          <w:iCs/>
          <w:noProof w:val="0"/>
          <w:rtl/>
        </w:rPr>
        <w:t>. משנת 1999 התובע וא</w:t>
      </w:r>
      <w:r>
        <w:rPr>
          <w:rFonts w:ascii="David" w:hAnsi="David" w:hint="cs"/>
          <w:b/>
          <w:bCs/>
          <w:i/>
          <w:iCs/>
          <w:noProof w:val="0"/>
          <w:rtl/>
        </w:rPr>
        <w:t>...</w:t>
      </w:r>
      <w:r w:rsidRPr="00347559">
        <w:rPr>
          <w:rFonts w:ascii="David" w:hAnsi="David"/>
          <w:b/>
          <w:bCs/>
          <w:i/>
          <w:iCs/>
          <w:noProof w:val="0"/>
          <w:rtl/>
        </w:rPr>
        <w:t xml:space="preserve"> בני זוג. בשנת </w:t>
      </w:r>
      <w:r>
        <w:rPr>
          <w:rFonts w:ascii="David" w:hAnsi="David" w:hint="cs"/>
          <w:b/>
          <w:bCs/>
          <w:i/>
          <w:iCs/>
          <w:noProof w:val="0"/>
          <w:rtl/>
        </w:rPr>
        <w:t>...</w:t>
      </w:r>
      <w:r w:rsidRPr="00347559">
        <w:rPr>
          <w:rFonts w:ascii="David" w:hAnsi="David"/>
          <w:b/>
          <w:bCs/>
          <w:i/>
          <w:iCs/>
          <w:noProof w:val="0"/>
          <w:rtl/>
        </w:rPr>
        <w:t xml:space="preserve"> נישאו ומנישואיהם נולדו הנתבעים 1-3 הם ילדיהם הקטינים המשותפים ("הילדים"). בשנת 2020 שמה א</w:t>
      </w:r>
      <w:r>
        <w:rPr>
          <w:rFonts w:ascii="David" w:hAnsi="David" w:hint="cs"/>
          <w:b/>
          <w:bCs/>
          <w:i/>
          <w:iCs/>
          <w:noProof w:val="0"/>
          <w:rtl/>
        </w:rPr>
        <w:t>...</w:t>
      </w:r>
      <w:r w:rsidRPr="00347559">
        <w:rPr>
          <w:rFonts w:ascii="David" w:hAnsi="David"/>
          <w:b/>
          <w:bCs/>
          <w:i/>
          <w:iCs/>
          <w:noProof w:val="0"/>
          <w:rtl/>
        </w:rPr>
        <w:t xml:space="preserve"> קץ לחייה."</w:t>
      </w:r>
    </w:p>
    <w:p w:rsidR="003D5153" w:rsidRPr="00A910A1"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9 תיקים קשורים רשומים בנוסף לזה הנוכחי, בהם תביעת התובע למזונות מן העיזבון (ת"ע 45309-10-21), שם קבעתי בפסק דין חלוט כי לא רק שהתובע מנסה לשלול חלק מירושת ילדיו, להקטין חלק ילדיו בירושה ולהוציא כספים שונים מחוץ לעיזבון, אלא שהוא משך סך נכבד מן העיזבון, מתוך זכויותיה הסוציאליות של המנוחה, ועוד. האמור מטיל צל מסויים על כוונות התובע.</w:t>
      </w:r>
    </w:p>
    <w:p w:rsidR="003D5153" w:rsidRPr="00CD75E8" w:rsidRDefault="003D5153" w:rsidP="003D5153">
      <w:pPr>
        <w:pStyle w:val="aa"/>
        <w:spacing w:line="360" w:lineRule="auto"/>
        <w:ind w:left="360"/>
        <w:jc w:val="both"/>
        <w:rPr>
          <w:rFonts w:ascii="FrankRuehl" w:hAnsi="FrankRuehl" w:cs="FrankRuehl"/>
          <w:noProof w:val="0"/>
          <w:sz w:val="10"/>
          <w:szCs w:val="10"/>
        </w:rPr>
      </w:pPr>
    </w:p>
    <w:p w:rsidR="003D5153" w:rsidRDefault="003D5153" w:rsidP="003D5153">
      <w:pPr>
        <w:pStyle w:val="aa"/>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בתובענה נוספת (ת"ע 39985-10-21) ניסה האב להשתלט על כספי ילדיו; בתובענה אחרת (ת"ע 31023-11-21) ניסה הוא להקטין היקף העיזבון ובנוספת (תמ"ש 17722-02-21) ביקש הוא לקבל כ- 552,000 ₪ מכספי העיזבון, תביעה הגלומה גם בכאן. </w:t>
      </w:r>
    </w:p>
    <w:p w:rsidR="003D5153" w:rsidRDefault="003D5153" w:rsidP="003D5153">
      <w:pPr>
        <w:pStyle w:val="aa"/>
        <w:spacing w:line="360" w:lineRule="auto"/>
        <w:ind w:left="360"/>
        <w:jc w:val="both"/>
        <w:rPr>
          <w:rFonts w:ascii="FrankRuehl" w:hAnsi="FrankRuehl" w:cs="FrankRuehl"/>
          <w:noProof w:val="0"/>
          <w:sz w:val="28"/>
          <w:szCs w:val="28"/>
          <w:rtl/>
        </w:rPr>
      </w:pPr>
    </w:p>
    <w:p w:rsidR="003D5153" w:rsidRDefault="003D5153" w:rsidP="003D5153">
      <w:pPr>
        <w:pStyle w:val="aa"/>
        <w:spacing w:line="360" w:lineRule="auto"/>
        <w:ind w:left="360"/>
        <w:jc w:val="both"/>
        <w:rPr>
          <w:rFonts w:ascii="FrankRuehl" w:hAnsi="FrankRuehl" w:cs="FrankRuehl"/>
          <w:noProof w:val="0"/>
          <w:sz w:val="28"/>
          <w:szCs w:val="28"/>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למעשה, כלכלית נתפס האב כמי שמנסה ליטול מילדיו (היורשים) רב ככל האפשר, בעילות "מן היקב ומן הגורן", וכדי צורך במינוי אפוטרופוס לדין ליורשים, בנוסף למנהל העיזבון, הגיעו הדברים. </w:t>
      </w:r>
    </w:p>
    <w:p w:rsidR="003D5153" w:rsidRDefault="003D5153" w:rsidP="003D5153">
      <w:pPr>
        <w:pStyle w:val="aa"/>
        <w:spacing w:line="360" w:lineRule="auto"/>
        <w:ind w:left="360"/>
        <w:jc w:val="both"/>
        <w:rPr>
          <w:rFonts w:ascii="FrankRuehl" w:hAnsi="FrankRuehl" w:cs="FrankRuehl"/>
          <w:noProof w:val="0"/>
          <w:sz w:val="28"/>
          <w:szCs w:val="28"/>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כעת טוען התובע, כי דירה שאין עורר כי רשומה היתה על שם המנוחה </w:t>
      </w:r>
      <w:r>
        <w:rPr>
          <w:rFonts w:ascii="FrankRuehl" w:hAnsi="FrankRuehl" w:cs="FrankRuehl"/>
          <w:noProof w:val="0"/>
          <w:sz w:val="28"/>
          <w:szCs w:val="28"/>
          <w:rtl/>
        </w:rPr>
        <w:t>–</w:t>
      </w:r>
      <w:r>
        <w:rPr>
          <w:rFonts w:ascii="FrankRuehl" w:hAnsi="FrankRuehl" w:cs="FrankRuehl" w:hint="cs"/>
          <w:noProof w:val="0"/>
          <w:sz w:val="28"/>
          <w:szCs w:val="28"/>
          <w:rtl/>
        </w:rPr>
        <w:t xml:space="preserve"> שלו היא, במחצית. </w:t>
      </w:r>
    </w:p>
    <w:p w:rsidR="003D5153" w:rsidRDefault="003D5153" w:rsidP="003D5153">
      <w:pPr>
        <w:rPr>
          <w:rFonts w:ascii="FrankRuehl" w:hAnsi="FrankRuehl" w:cs="FrankRuehl"/>
          <w:noProof w:val="0"/>
          <w:sz w:val="28"/>
          <w:szCs w:val="28"/>
          <w:rtl/>
        </w:rPr>
      </w:pPr>
    </w:p>
    <w:p w:rsidR="003D5153" w:rsidRPr="00207FAE" w:rsidRDefault="003D5153" w:rsidP="003D5153">
      <w:pPr>
        <w:spacing w:line="360" w:lineRule="auto"/>
        <w:rPr>
          <w:rFonts w:ascii="FrankRuehl" w:hAnsi="FrankRuehl" w:cs="FrankRuehl"/>
          <w:b/>
          <w:bCs/>
          <w:noProof w:val="0"/>
          <w:sz w:val="28"/>
          <w:szCs w:val="28"/>
          <w:u w:val="single"/>
          <w:rtl/>
        </w:rPr>
      </w:pPr>
      <w:r w:rsidRPr="00207FAE">
        <w:rPr>
          <w:rFonts w:ascii="FrankRuehl" w:hAnsi="FrankRuehl" w:cs="FrankRuehl" w:hint="cs"/>
          <w:b/>
          <w:bCs/>
          <w:noProof w:val="0"/>
          <w:sz w:val="28"/>
          <w:szCs w:val="28"/>
          <w:u w:val="single"/>
          <w:rtl/>
        </w:rPr>
        <w:t>טענות התובע, בתמצית</w:t>
      </w: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הצדדים היו בני זוג משנת ..., ועד פטירת המנוחה, 21 שנים לאחר מכן; 18 שנה היו הצדדים נשואים. </w:t>
      </w:r>
    </w:p>
    <w:p w:rsidR="003D5153" w:rsidRDefault="003D5153" w:rsidP="003D5153">
      <w:pPr>
        <w:pStyle w:val="aa"/>
        <w:spacing w:line="360" w:lineRule="auto"/>
        <w:ind w:left="360"/>
        <w:jc w:val="both"/>
        <w:rPr>
          <w:rFonts w:ascii="FrankRuehl" w:hAnsi="FrankRuehl" w:cs="FrankRuehl"/>
          <w:noProof w:val="0"/>
          <w:sz w:val="28"/>
          <w:szCs w:val="28"/>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למעלה מ- 16 שנים התגוררו הצדדים בדירה עד שעברו לדירה אחרת. </w:t>
      </w:r>
    </w:p>
    <w:p w:rsidR="003D5153" w:rsidRPr="00207FAE"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דמי השכירות מהדירה נכנסו לחשבון משותף, ממנו שולמו דמי אחזקה ושיפוץ לדירה ולבניין בו היא מצויה. </w:t>
      </w:r>
    </w:p>
    <w:p w:rsidR="003D5153" w:rsidRPr="00207FAE"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הדירה נרכשה במהלך הנישואין; בין המנוחה ובין התובע שררו יחסי שיתוף, ומשכורתם הופקדה לחשבון משותף. בעצם, הצדדים אחזו בשני חשבונות משותפים. </w:t>
      </w:r>
    </w:p>
    <w:p w:rsidR="003D5153" w:rsidRPr="00207FAE"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הדירה בתחילה הושכרה על-ידי בני הזוג והיא נרכשה בשנת 2004, אגב שיפוץ, בשווי 15% משווי הדירה. </w:t>
      </w:r>
    </w:p>
    <w:p w:rsidR="003D5153" w:rsidRPr="0094268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מס הרכישה שולם מחשבון משותף, ושיפוץ בשווי 5% נוספים משווי הדירה נעשה בשנת 2008, גם הותקנה מעלית בבניין. </w:t>
      </w:r>
    </w:p>
    <w:p w:rsidR="003D5153" w:rsidRPr="0094268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עבודות בבניין נעשו גם בשנים 2018-2019. </w:t>
      </w:r>
    </w:p>
    <w:p w:rsidR="003D5153" w:rsidRPr="0094268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החשבון המשותף שימש לשיפוץ דירה אחרת של המנוחה, ובהתאם להסכם בין הצדדים פרעה המנוחה לתובע רק 159,000 ₪ ע"ח כספים שנמשכו מהחשבון המשותף, וכי היא חבה לחשבון המשותף סך 535,462 ₪. התובע הוא בעל החשבון המשותף ולכן מגיע לו כל הסכום ולא מחצית. </w:t>
      </w:r>
    </w:p>
    <w:p w:rsidR="003D5153" w:rsidRDefault="003D5153" w:rsidP="003D5153">
      <w:pPr>
        <w:rPr>
          <w:rFonts w:ascii="FrankRuehl" w:hAnsi="FrankRuehl" w:cs="FrankRuehl"/>
          <w:noProof w:val="0"/>
          <w:sz w:val="28"/>
          <w:szCs w:val="28"/>
          <w:rtl/>
        </w:rPr>
      </w:pPr>
    </w:p>
    <w:p w:rsidR="003D5153" w:rsidRDefault="003D5153" w:rsidP="003D5153">
      <w:pPr>
        <w:spacing w:line="360" w:lineRule="auto"/>
        <w:rPr>
          <w:rFonts w:ascii="FrankRuehl" w:hAnsi="FrankRuehl" w:cs="FrankRuehl"/>
          <w:b/>
          <w:bCs/>
          <w:noProof w:val="0"/>
          <w:sz w:val="28"/>
          <w:szCs w:val="28"/>
          <w:u w:val="single"/>
          <w:rtl/>
        </w:rPr>
      </w:pPr>
    </w:p>
    <w:p w:rsidR="003D5153" w:rsidRPr="005D5CE2" w:rsidRDefault="003D5153" w:rsidP="003D5153">
      <w:pPr>
        <w:spacing w:line="360" w:lineRule="auto"/>
        <w:rPr>
          <w:rFonts w:ascii="FrankRuehl" w:hAnsi="FrankRuehl" w:cs="FrankRuehl"/>
          <w:b/>
          <w:bCs/>
          <w:noProof w:val="0"/>
          <w:sz w:val="28"/>
          <w:szCs w:val="28"/>
          <w:u w:val="single"/>
          <w:rtl/>
        </w:rPr>
      </w:pPr>
      <w:r>
        <w:rPr>
          <w:rFonts w:ascii="FrankRuehl" w:hAnsi="FrankRuehl" w:cs="FrankRuehl" w:hint="cs"/>
          <w:b/>
          <w:bCs/>
          <w:noProof w:val="0"/>
          <w:sz w:val="28"/>
          <w:szCs w:val="28"/>
          <w:u w:val="single"/>
          <w:rtl/>
        </w:rPr>
        <w:t>טענות הנתבע</w:t>
      </w:r>
      <w:r w:rsidRPr="005D5CE2">
        <w:rPr>
          <w:rFonts w:ascii="FrankRuehl" w:hAnsi="FrankRuehl" w:cs="FrankRuehl" w:hint="cs"/>
          <w:b/>
          <w:bCs/>
          <w:noProof w:val="0"/>
          <w:sz w:val="28"/>
          <w:szCs w:val="28"/>
          <w:u w:val="single"/>
          <w:rtl/>
        </w:rPr>
        <w:t>, בתמצית</w:t>
      </w: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הצדדים שמרו על הפרדה רכושית וניהלו חשבונות נפרדים לצד חשבון משותף. </w:t>
      </w:r>
    </w:p>
    <w:p w:rsidR="003D5153" w:rsidRDefault="003D5153" w:rsidP="003D5153">
      <w:pPr>
        <w:pStyle w:val="aa"/>
        <w:spacing w:line="360" w:lineRule="auto"/>
        <w:ind w:left="360"/>
        <w:jc w:val="both"/>
        <w:rPr>
          <w:rFonts w:ascii="FrankRuehl" w:hAnsi="FrankRuehl" w:cs="FrankRuehl"/>
          <w:noProof w:val="0"/>
          <w:sz w:val="28"/>
          <w:szCs w:val="28"/>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למעשה, כשחפצו הצדדים בשיתוף, רשמו שיתוף ובאין שיתוף הפקידו כספים ממקורות חיצוניים. </w:t>
      </w:r>
    </w:p>
    <w:p w:rsidR="003D5153" w:rsidRPr="005D5CE2"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המנוחה קיבלה באותו בניין 3 דירות, מירושת הוריה, והחזיקה אותם בבעלות נפרדת. </w:t>
      </w:r>
    </w:p>
    <w:p w:rsidR="003D5153" w:rsidRPr="005D5CE2"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לתובע דירה נפרדת, קיימת דירה משותפת ולתובע גם כ- 5,500,000 ₪ נפרדים. </w:t>
      </w:r>
    </w:p>
    <w:p w:rsidR="003D5153" w:rsidRPr="005D5CE2"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התובע משך סך 150,000 ₪ מכספי העיזבון, כספי ילדיו, ועד היום לא הציג אסמכתא כי הפקיד הכספים לטובת ילדיו. </w:t>
      </w:r>
    </w:p>
    <w:p w:rsidR="003D5153" w:rsidRPr="005D5CE2"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הדירה והכספים צוו על-ידי המנוחה לילדי הצדדים, והתובע אפילו קיבל זכות מגורים באחת מדירות המנוחה בנוסף לכך שקיבל סך 3,000,000 ₪ בחשבון המשותף שצווה לו, וכן סך 292,000 ₪ אשר צוו לו מזכויות המנוחה, מעבודתה. </w:t>
      </w:r>
    </w:p>
    <w:p w:rsidR="003D5153" w:rsidRPr="00F401B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הדירה אינה רק נכס חיצוני ופרי הורי המנוחה. הסב המנוח אפילו ציווה בצוואתו, לאחר נישואי הצדדים, על היות הדירה לא משותפת. </w:t>
      </w:r>
    </w:p>
    <w:p w:rsidR="003D5153" w:rsidRPr="005D5CE2"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כספי רכש הדירה נשמרו בנפרד וניתנו למנוחה כמתנה מהוריה, וגם כאשר נשכרה הדירה מהורי המנוחה, לא חתם התובע כשוכר על חוזה השכירות ולא ערב לחוזה. </w:t>
      </w:r>
    </w:p>
    <w:p w:rsidR="003D5153" w:rsidRPr="00F401B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לא הוסכם בין המנוחה לבין התובע על שיתוף, דיווח המס לא כלל את התובע. </w:t>
      </w:r>
    </w:p>
    <w:p w:rsidR="003D5153" w:rsidRPr="00CD75E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לבני הזוג דירה אחרת, משותפת. </w:t>
      </w:r>
    </w:p>
    <w:p w:rsidR="003D5153" w:rsidRPr="00CD75E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צוואת המנוחה גם ראתה במגורי התובע במי מדירותיה, בר רשות ללא תמורה. </w:t>
      </w:r>
    </w:p>
    <w:p w:rsidR="003D5153" w:rsidRPr="00CD75E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lastRenderedPageBreak/>
        <w:t xml:space="preserve">גם מנוסח הסכם הממון ומהמשא ומתן אשר קדם לו, ניתן ללמוד כי מפורשות הוסכם על אי שיתוף בדירה נשוא התובענה. </w:t>
      </w:r>
    </w:p>
    <w:p w:rsidR="003D5153" w:rsidRPr="00CD75E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מכתב התובע למנהל העיזבון מיום 04.04.2021 מעיד גם הוא כי התובע לא ראה עצמו שותף לדירה. </w:t>
      </w:r>
    </w:p>
    <w:p w:rsidR="003D5153" w:rsidRPr="00CD75E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השקעות בשיפוץ היו מזעריות, ובדירה אחרת כאשר נערך בה שיפוץ יסודי, ערכו הצדדים הסכם. </w:t>
      </w:r>
    </w:p>
    <w:p w:rsidR="003D5153" w:rsidRPr="00CD75E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טענות התובע כי משיכות כספים הועברו דווקא לקבלן שיפוצים לא הוכחו. </w:t>
      </w:r>
    </w:p>
    <w:p w:rsidR="003D5153" w:rsidRPr="00CD75E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מימון מעלית ושיפוץ 2008 נעשו על-ידי המנוחה, וכן עבודות הבינוי בבניין, כך גם מס הרכישה. </w:t>
      </w:r>
    </w:p>
    <w:p w:rsidR="003D5153" w:rsidRPr="00CD75E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ההסכם לעניין השבת כספים בוצע במלואו ולא מגיע לתובע דבר. </w:t>
      </w:r>
    </w:p>
    <w:p w:rsidR="003D5153" w:rsidRDefault="003D5153" w:rsidP="003D5153">
      <w:pPr>
        <w:rPr>
          <w:rFonts w:ascii="FrankRuehl" w:hAnsi="FrankRuehl" w:cs="FrankRuehl"/>
          <w:noProof w:val="0"/>
          <w:sz w:val="28"/>
          <w:szCs w:val="28"/>
          <w:rtl/>
        </w:rPr>
      </w:pPr>
    </w:p>
    <w:p w:rsidR="003D5153" w:rsidRPr="007A7F9A" w:rsidRDefault="003D5153" w:rsidP="003D5153">
      <w:pPr>
        <w:spacing w:line="360" w:lineRule="auto"/>
        <w:rPr>
          <w:rFonts w:ascii="FrankRuehl" w:hAnsi="FrankRuehl" w:cs="FrankRuehl"/>
          <w:b/>
          <w:bCs/>
          <w:noProof w:val="0"/>
          <w:sz w:val="28"/>
          <w:szCs w:val="28"/>
          <w:u w:val="single"/>
          <w:rtl/>
        </w:rPr>
      </w:pPr>
      <w:r w:rsidRPr="007A7F9A">
        <w:rPr>
          <w:rFonts w:ascii="FrankRuehl" w:hAnsi="FrankRuehl" w:cs="FrankRuehl" w:hint="cs"/>
          <w:b/>
          <w:bCs/>
          <w:noProof w:val="0"/>
          <w:sz w:val="28"/>
          <w:szCs w:val="28"/>
          <w:u w:val="single"/>
          <w:rtl/>
        </w:rPr>
        <w:t>דיון והכרעה</w:t>
      </w:r>
    </w:p>
    <w:p w:rsidR="003D5153" w:rsidRPr="007A7F9A" w:rsidRDefault="003D5153" w:rsidP="003D5153">
      <w:pPr>
        <w:spacing w:line="360" w:lineRule="auto"/>
        <w:rPr>
          <w:rFonts w:ascii="FrankRuehl" w:hAnsi="FrankRuehl" w:cs="FrankRuehl"/>
          <w:noProof w:val="0"/>
          <w:sz w:val="28"/>
          <w:szCs w:val="28"/>
          <w:u w:val="single"/>
          <w:rtl/>
        </w:rPr>
      </w:pPr>
      <w:r w:rsidRPr="007A7F9A">
        <w:rPr>
          <w:rFonts w:ascii="FrankRuehl" w:hAnsi="FrankRuehl" w:cs="FrankRuehl" w:hint="cs"/>
          <w:noProof w:val="0"/>
          <w:sz w:val="28"/>
          <w:szCs w:val="28"/>
          <w:u w:val="single"/>
          <w:rtl/>
        </w:rPr>
        <w:t>מעט על הדין</w:t>
      </w: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שוב נזכיר את הכלל הישן שבתלמוד, לאמור "המוציא מחברו עליו הראיה" (וראה: ע"א 2781/93 </w:t>
      </w:r>
      <w:r w:rsidRPr="002E4E97">
        <w:rPr>
          <w:rFonts w:ascii="FrankRuehl" w:hAnsi="FrankRuehl" w:cs="FrankRuehl" w:hint="cs"/>
          <w:b/>
          <w:bCs/>
          <w:noProof w:val="0"/>
          <w:sz w:val="28"/>
          <w:szCs w:val="28"/>
          <w:rtl/>
        </w:rPr>
        <w:t>דעקה נ' בית החולים "כרמל</w:t>
      </w:r>
      <w:r>
        <w:rPr>
          <w:rFonts w:ascii="FrankRuehl" w:hAnsi="FrankRuehl" w:cs="FrankRuehl" w:hint="cs"/>
          <w:noProof w:val="0"/>
          <w:sz w:val="28"/>
          <w:szCs w:val="28"/>
          <w:rtl/>
        </w:rPr>
        <w:t xml:space="preserve">", נג(4), 526 {פמ"מ </w:t>
      </w:r>
      <w:r>
        <w:rPr>
          <w:rFonts w:ascii="FrankRuehl" w:hAnsi="FrankRuehl" w:cs="FrankRuehl"/>
          <w:noProof w:val="0"/>
          <w:sz w:val="28"/>
          <w:szCs w:val="28"/>
          <w:rtl/>
        </w:rPr>
        <w:t>–</w:t>
      </w:r>
      <w:r>
        <w:rPr>
          <w:rFonts w:ascii="FrankRuehl" w:hAnsi="FrankRuehl" w:cs="FrankRuehl" w:hint="cs"/>
          <w:noProof w:val="0"/>
          <w:sz w:val="28"/>
          <w:szCs w:val="28"/>
          <w:rtl/>
        </w:rPr>
        <w:t xml:space="preserve"> 29.08.1999}). </w:t>
      </w:r>
    </w:p>
    <w:p w:rsidR="003D5153" w:rsidRDefault="003D5153" w:rsidP="003D5153">
      <w:pPr>
        <w:pStyle w:val="aa"/>
        <w:spacing w:line="360" w:lineRule="auto"/>
        <w:ind w:left="360"/>
        <w:jc w:val="both"/>
        <w:rPr>
          <w:rFonts w:ascii="FrankRuehl" w:hAnsi="FrankRuehl" w:cs="FrankRuehl"/>
          <w:noProof w:val="0"/>
          <w:sz w:val="28"/>
          <w:szCs w:val="28"/>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המונח "שיתוף ספציפי" נועד, בעצם, ליצור צדק בסיטואציה בה בני זוג רוכשים דירה למגוריהם בטרם נישאו או הפכו לרוכשים בפועל, בנכס שנרכש על-ידי מי מהם, בטרם הזוגיות (וראה: בע"מ 1398/11 </w:t>
      </w:r>
      <w:r w:rsidRPr="002E4E97">
        <w:rPr>
          <w:rFonts w:ascii="FrankRuehl" w:hAnsi="FrankRuehl" w:cs="FrankRuehl" w:hint="cs"/>
          <w:b/>
          <w:bCs/>
          <w:noProof w:val="0"/>
          <w:sz w:val="28"/>
          <w:szCs w:val="28"/>
          <w:rtl/>
        </w:rPr>
        <w:t>אלמונית נ' אלמוני</w:t>
      </w:r>
      <w:r>
        <w:rPr>
          <w:rFonts w:ascii="FrankRuehl" w:hAnsi="FrankRuehl" w:cs="FrankRuehl" w:hint="cs"/>
          <w:noProof w:val="0"/>
          <w:sz w:val="28"/>
          <w:szCs w:val="28"/>
          <w:rtl/>
        </w:rPr>
        <w:t xml:space="preserve"> {פמ"מ </w:t>
      </w:r>
      <w:r>
        <w:rPr>
          <w:rFonts w:ascii="FrankRuehl" w:hAnsi="FrankRuehl" w:cs="FrankRuehl"/>
          <w:noProof w:val="0"/>
          <w:sz w:val="28"/>
          <w:szCs w:val="28"/>
          <w:rtl/>
        </w:rPr>
        <w:t>–</w:t>
      </w:r>
      <w:r>
        <w:rPr>
          <w:rFonts w:ascii="FrankRuehl" w:hAnsi="FrankRuehl" w:cs="FrankRuehl" w:hint="cs"/>
          <w:noProof w:val="0"/>
          <w:sz w:val="28"/>
          <w:szCs w:val="28"/>
          <w:rtl/>
        </w:rPr>
        <w:t xml:space="preserve"> 26.12.2012} {להלן: "</w:t>
      </w:r>
      <w:r w:rsidRPr="002E4E97">
        <w:rPr>
          <w:rFonts w:ascii="FrankRuehl" w:hAnsi="FrankRuehl" w:cs="FrankRuehl" w:hint="cs"/>
          <w:b/>
          <w:bCs/>
          <w:noProof w:val="0"/>
          <w:sz w:val="28"/>
          <w:szCs w:val="28"/>
          <w:rtl/>
        </w:rPr>
        <w:t>בע"מ 139</w:t>
      </w:r>
      <w:r>
        <w:rPr>
          <w:rFonts w:ascii="FrankRuehl" w:hAnsi="FrankRuehl" w:cs="FrankRuehl" w:hint="cs"/>
          <w:b/>
          <w:bCs/>
          <w:noProof w:val="0"/>
          <w:sz w:val="28"/>
          <w:szCs w:val="28"/>
          <w:rtl/>
        </w:rPr>
        <w:t>8/11</w:t>
      </w:r>
      <w:r>
        <w:rPr>
          <w:rFonts w:ascii="FrankRuehl" w:hAnsi="FrankRuehl" w:cs="FrankRuehl" w:hint="cs"/>
          <w:noProof w:val="0"/>
          <w:sz w:val="28"/>
          <w:szCs w:val="28"/>
          <w:rtl/>
        </w:rPr>
        <w:t xml:space="preserve">"}). </w:t>
      </w:r>
    </w:p>
    <w:p w:rsidR="003D5153" w:rsidRPr="00496A5E"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מאליו ברור כי יציר פסיקה זה, המנוגד במידת מה ללשון החוק, דורש נטל הוכחה מוגבר (וראה: בג"צ 4178/04 </w:t>
      </w:r>
      <w:r w:rsidRPr="002E4E97">
        <w:rPr>
          <w:rFonts w:ascii="FrankRuehl" w:hAnsi="FrankRuehl" w:cs="FrankRuehl" w:hint="cs"/>
          <w:b/>
          <w:bCs/>
          <w:noProof w:val="0"/>
          <w:sz w:val="28"/>
          <w:szCs w:val="28"/>
          <w:rtl/>
        </w:rPr>
        <w:t>פלוני נ' בית הדין הרבני לערעורים</w:t>
      </w:r>
      <w:r>
        <w:rPr>
          <w:rFonts w:ascii="FrankRuehl" w:hAnsi="FrankRuehl" w:cs="FrankRuehl" w:hint="cs"/>
          <w:noProof w:val="0"/>
          <w:sz w:val="28"/>
          <w:szCs w:val="28"/>
          <w:rtl/>
        </w:rPr>
        <w:t xml:space="preserve">, סב(1), 235 {פמ"מ </w:t>
      </w:r>
      <w:r>
        <w:rPr>
          <w:rFonts w:ascii="FrankRuehl" w:hAnsi="FrankRuehl" w:cs="FrankRuehl"/>
          <w:noProof w:val="0"/>
          <w:sz w:val="28"/>
          <w:szCs w:val="28"/>
          <w:rtl/>
        </w:rPr>
        <w:t>–</w:t>
      </w:r>
      <w:r>
        <w:rPr>
          <w:rFonts w:ascii="FrankRuehl" w:hAnsi="FrankRuehl" w:cs="FrankRuehl" w:hint="cs"/>
          <w:noProof w:val="0"/>
          <w:sz w:val="28"/>
          <w:szCs w:val="28"/>
          <w:rtl/>
        </w:rPr>
        <w:t xml:space="preserve"> 13.12.2006}). </w:t>
      </w:r>
    </w:p>
    <w:p w:rsidR="003D5153" w:rsidRPr="00496A5E" w:rsidRDefault="003D5153" w:rsidP="003D5153">
      <w:pPr>
        <w:pStyle w:val="aa"/>
        <w:rPr>
          <w:rFonts w:ascii="FrankRuehl" w:hAnsi="FrankRuehl" w:cs="FrankRuehl"/>
          <w:noProof w:val="0"/>
          <w:sz w:val="28"/>
          <w:szCs w:val="28"/>
          <w:rtl/>
        </w:rPr>
      </w:pPr>
    </w:p>
    <w:p w:rsidR="003D5153" w:rsidRPr="00F021FC" w:rsidRDefault="003D5153" w:rsidP="003D5153">
      <w:pPr>
        <w:pStyle w:val="aa"/>
        <w:numPr>
          <w:ilvl w:val="0"/>
          <w:numId w:val="1"/>
        </w:numPr>
        <w:spacing w:line="360" w:lineRule="auto"/>
        <w:jc w:val="both"/>
        <w:rPr>
          <w:rFonts w:ascii="FrankRuehl" w:hAnsi="FrankRuehl" w:cs="FrankRuehl"/>
          <w:noProof w:val="0"/>
          <w:sz w:val="28"/>
          <w:szCs w:val="28"/>
          <w:rtl/>
        </w:rPr>
      </w:pPr>
      <w:r w:rsidRPr="00F021FC">
        <w:rPr>
          <w:rFonts w:ascii="FrankRuehl" w:hAnsi="FrankRuehl" w:cs="FrankRuehl" w:hint="cs"/>
          <w:noProof w:val="0"/>
          <w:sz w:val="28"/>
          <w:szCs w:val="28"/>
          <w:rtl/>
        </w:rPr>
        <w:t xml:space="preserve">ההלכה היסודית היא כמובן </w:t>
      </w:r>
      <w:r w:rsidRPr="002E4E97">
        <w:rPr>
          <w:rFonts w:ascii="FrankRuehl" w:hAnsi="FrankRuehl" w:cs="FrankRuehl" w:hint="cs"/>
          <w:noProof w:val="0"/>
          <w:sz w:val="28"/>
          <w:szCs w:val="28"/>
          <w:rtl/>
        </w:rPr>
        <w:t>ב</w:t>
      </w:r>
      <w:r>
        <w:rPr>
          <w:rFonts w:ascii="FrankRuehl" w:hAnsi="FrankRuehl" w:cs="FrankRuehl" w:hint="cs"/>
          <w:b/>
          <w:bCs/>
          <w:noProof w:val="0"/>
          <w:sz w:val="28"/>
          <w:szCs w:val="28"/>
          <w:rtl/>
        </w:rPr>
        <w:t>"</w:t>
      </w:r>
      <w:r w:rsidRPr="00F021FC">
        <w:rPr>
          <w:rFonts w:ascii="FrankRuehl" w:hAnsi="FrankRuehl" w:cs="FrankRuehl" w:hint="cs"/>
          <w:b/>
          <w:bCs/>
          <w:noProof w:val="0"/>
          <w:sz w:val="28"/>
          <w:szCs w:val="28"/>
          <w:rtl/>
        </w:rPr>
        <w:t>בע"מ 139</w:t>
      </w:r>
      <w:r>
        <w:rPr>
          <w:rFonts w:ascii="FrankRuehl" w:hAnsi="FrankRuehl" w:cs="FrankRuehl" w:hint="cs"/>
          <w:b/>
          <w:bCs/>
          <w:noProof w:val="0"/>
          <w:sz w:val="28"/>
          <w:szCs w:val="28"/>
          <w:rtl/>
        </w:rPr>
        <w:t>8/11</w:t>
      </w:r>
      <w:r>
        <w:rPr>
          <w:rFonts w:ascii="FrankRuehl" w:hAnsi="FrankRuehl" w:cs="FrankRuehl" w:hint="cs"/>
          <w:noProof w:val="0"/>
          <w:sz w:val="28"/>
          <w:szCs w:val="28"/>
          <w:rtl/>
        </w:rPr>
        <w:t>",</w:t>
      </w:r>
      <w:r w:rsidRPr="00F021FC">
        <w:rPr>
          <w:rFonts w:ascii="FrankRuehl" w:hAnsi="FrankRuehl" w:cs="FrankRuehl" w:hint="cs"/>
          <w:noProof w:val="0"/>
          <w:sz w:val="28"/>
          <w:szCs w:val="28"/>
          <w:rtl/>
        </w:rPr>
        <w:t xml:space="preserve"> פסק דין אשר ניתן בדעת רוב ובו נאמר, אגב הרציו, בין השאר כך</w:t>
      </w:r>
      <w:r>
        <w:rPr>
          <w:rFonts w:ascii="FrankRuehl" w:hAnsi="FrankRuehl" w:cs="FrankRuehl" w:hint="cs"/>
          <w:noProof w:val="0"/>
          <w:sz w:val="28"/>
          <w:szCs w:val="28"/>
          <w:rtl/>
        </w:rPr>
        <w:t>:</w:t>
      </w:r>
    </w:p>
    <w:p w:rsidR="003D5153" w:rsidRPr="00F021FC" w:rsidRDefault="003D5153" w:rsidP="003D5153">
      <w:pPr>
        <w:pStyle w:val="Ruller5"/>
        <w:spacing w:after="120" w:line="320" w:lineRule="exact"/>
        <w:ind w:left="1440" w:right="0"/>
        <w:rPr>
          <w:rFonts w:ascii="Times New Roman" w:hAnsi="Times New Roman"/>
          <w:b/>
          <w:bCs/>
          <w:i/>
          <w:iCs/>
          <w:spacing w:val="0"/>
          <w:sz w:val="24"/>
          <w:szCs w:val="26"/>
        </w:rPr>
      </w:pPr>
      <w:r w:rsidRPr="00F021FC">
        <w:rPr>
          <w:rFonts w:ascii="Times New Roman" w:hAnsi="Times New Roman" w:hint="cs"/>
          <w:b/>
          <w:bCs/>
          <w:i/>
          <w:iCs/>
          <w:spacing w:val="0"/>
          <w:sz w:val="24"/>
          <w:szCs w:val="26"/>
          <w:rtl/>
        </w:rPr>
        <w:lastRenderedPageBreak/>
        <w:t>"</w:t>
      </w:r>
      <w:r w:rsidRPr="00F021FC">
        <w:rPr>
          <w:rFonts w:ascii="Times New Roman" w:hAnsi="Times New Roman"/>
          <w:b/>
          <w:bCs/>
          <w:i/>
          <w:iCs/>
          <w:spacing w:val="0"/>
          <w:sz w:val="24"/>
          <w:szCs w:val="26"/>
          <w:rtl/>
        </w:rPr>
        <w:t>ביהמ"ש העליון (מפי השופט י' דנציגר, בהסכמת השופט י' עמית ובניגוד לדעתו החולקת של השופט צ' זילברטל (לגבי יישום הדין בלבד)), קיבל את הערעור, מהטעמים הבאים:</w:t>
      </w:r>
    </w:p>
    <w:p w:rsidR="003D5153" w:rsidRPr="00F021FC" w:rsidRDefault="003D5153" w:rsidP="003D5153">
      <w:pPr>
        <w:pStyle w:val="Ruller5"/>
        <w:spacing w:after="120" w:line="320" w:lineRule="exact"/>
        <w:ind w:left="1440" w:right="0"/>
        <w:rPr>
          <w:rFonts w:ascii="Times New Roman" w:hAnsi="Times New Roman"/>
          <w:b/>
          <w:bCs/>
          <w:i/>
          <w:iCs/>
          <w:spacing w:val="0"/>
          <w:sz w:val="24"/>
          <w:szCs w:val="26"/>
        </w:rPr>
      </w:pPr>
      <w:r w:rsidRPr="00F021FC">
        <w:rPr>
          <w:rFonts w:ascii="Times New Roman" w:hAnsi="Times New Roman"/>
          <w:b/>
          <w:bCs/>
          <w:i/>
          <w:iCs/>
          <w:spacing w:val="0"/>
          <w:sz w:val="24"/>
          <w:szCs w:val="26"/>
          <w:rtl/>
        </w:rPr>
        <w:t xml:space="preserve">כאשר מדובר בטענה לשיתוף בדירת מגורים שנרכשה על ידי אחד מבני הזוג טרם הנישואין ותחת משטר של חזקת השיתוף, גישת הפסיקה נטתה לגמישות רבה והכירה ביתר קלות בטענת שיתוף בנכס "חיצוני" מכוח נישואין משותפים ארוכי שנים. </w:t>
      </w:r>
    </w:p>
    <w:p w:rsidR="003D5153" w:rsidRPr="00F021FC" w:rsidRDefault="003D5153" w:rsidP="003D5153">
      <w:pPr>
        <w:pStyle w:val="Ruller5"/>
        <w:spacing w:after="120" w:line="320" w:lineRule="exact"/>
        <w:ind w:left="1440" w:right="0"/>
        <w:rPr>
          <w:rFonts w:ascii="Times New Roman" w:hAnsi="Times New Roman"/>
          <w:b/>
          <w:bCs/>
          <w:i/>
          <w:iCs/>
          <w:spacing w:val="0"/>
          <w:sz w:val="24"/>
          <w:szCs w:val="26"/>
          <w:rtl/>
        </w:rPr>
      </w:pPr>
      <w:r w:rsidRPr="003D5153">
        <w:rPr>
          <w:rFonts w:ascii="Times New Roman" w:hAnsi="Times New Roman"/>
          <w:b/>
          <w:bCs/>
          <w:i/>
          <w:iCs/>
          <w:spacing w:val="0"/>
          <w:sz w:val="24"/>
          <w:szCs w:val="26"/>
          <w:rtl/>
        </w:rPr>
        <w:t>אולם, באשר לבני זוג ש</w:t>
      </w:r>
      <w:hyperlink r:id="rId7" w:history="1">
        <w:r w:rsidRPr="003D5153">
          <w:rPr>
            <w:rStyle w:val="Hyperlink"/>
            <w:rFonts w:ascii="Times New Roman" w:hAnsi="Times New Roman"/>
            <w:b/>
            <w:bCs/>
            <w:i/>
            <w:iCs/>
            <w:color w:val="auto"/>
            <w:spacing w:val="0"/>
            <w:sz w:val="24"/>
            <w:szCs w:val="26"/>
            <w:u w:val="none"/>
            <w:rtl/>
          </w:rPr>
          <w:t>חוק יחסי ממון</w:t>
        </w:r>
      </w:hyperlink>
      <w:r w:rsidRPr="003D5153">
        <w:rPr>
          <w:rFonts w:ascii="Times New Roman" w:hAnsi="Times New Roman"/>
          <w:b/>
          <w:bCs/>
          <w:i/>
          <w:iCs/>
          <w:spacing w:val="0"/>
          <w:sz w:val="24"/>
          <w:szCs w:val="26"/>
          <w:rtl/>
        </w:rPr>
        <w:t xml:space="preserve"> חל עליהם (כבענייננו) ולנוכח הוראת סעיף 5(א) לחוק – המוציא ממאסת הנכסים המשותפת נכסים שהיו בבעלות אחד מבני הזוג טרם </w:t>
      </w:r>
      <w:r w:rsidRPr="00F021FC">
        <w:rPr>
          <w:rFonts w:ascii="Times New Roman" w:hAnsi="Times New Roman"/>
          <w:b/>
          <w:bCs/>
          <w:i/>
          <w:iCs/>
          <w:spacing w:val="0"/>
          <w:sz w:val="24"/>
          <w:szCs w:val="26"/>
          <w:rtl/>
        </w:rPr>
        <w:t xml:space="preserve">הנישואין – הודגש בפסיקה, כי לשם הכרה, מכוח דין כללי, בשיתוף בדירת מגורים שהובאה לנישואין על ידי אחד מבני הזוג, יש להראות נסיבות עובדתיות נוספות, מעבר לעצם קיומם של חיי נישואין משותפים ממושכים. היינו, על בן הזוג שמבקש שיוקנו לו מחצית הזכויות בדירת המגורים שרשומה על שמו של בן הזוג האחר, מוטל להוכיח – מעבר לקיומם של חיי נישואין משותפים, אף אם ממושכים – קיומו של "דבר מה נוסף" שיעיד על כוונת שיתוף בנכס הספציפי. </w:t>
      </w:r>
    </w:p>
    <w:p w:rsidR="003D5153" w:rsidRPr="00F021FC" w:rsidRDefault="003D5153" w:rsidP="003D5153">
      <w:pPr>
        <w:pStyle w:val="Ruller5"/>
        <w:spacing w:after="120" w:line="320" w:lineRule="exact"/>
        <w:ind w:left="1440" w:right="0"/>
        <w:rPr>
          <w:rFonts w:ascii="Times New Roman" w:hAnsi="Times New Roman"/>
          <w:b/>
          <w:bCs/>
          <w:i/>
          <w:iCs/>
          <w:spacing w:val="0"/>
          <w:sz w:val="24"/>
          <w:szCs w:val="26"/>
          <w:rtl/>
        </w:rPr>
      </w:pPr>
      <w:r w:rsidRPr="00F021FC">
        <w:rPr>
          <w:rFonts w:ascii="Times New Roman" w:hAnsi="Times New Roman"/>
          <w:b/>
          <w:bCs/>
          <w:i/>
          <w:iCs/>
          <w:spacing w:val="0"/>
          <w:sz w:val="24"/>
          <w:szCs w:val="26"/>
          <w:rtl/>
        </w:rPr>
        <w:t xml:space="preserve">מעיון בפסיקה עולה כי במרבית המקרים בהם קיבלו בתי המשפט את טענת השיתוף, הוכח כי בוצעו השקעות כספיות בנכס מצידו של בן הזוג הטוען לשיתוף והשקעות אלה היוו "דבר מה נוסף" המעיד על כוונת השיתוף. יחד עם זאת, לא מדובר בתנאי הכרחי שאין בלתו. כוונת שיתוף ספציפית בנכס "חיצוני" יכולה להתבטא גם בהבטחות ובמצגים אקטיביים שעשויים להביא להסתמכות מצד בן הזוג הלא רשום ולהקים טענת מניעות לבן הזוג הרשום, ובוודאי גם במקרה שבו מבוצעת הטעייה אקטיבית מצד בן הזוג הרשום המצויה על גבול המרמה [כפי שהתרחש בעניין יעקובי]. עם זאת, על מנת להוכיח כוונת שיתוף ספציפית בנכס אין צורך להציב רף הוכחה גבוה של הטעייה אקטיבית, ודי במצגים נמשכים בדבר כוונה למכור את דירת המגורים ולרכוש דירה חדשה משותפת, כפי שהתרחש במקרה דנן. בן הזוג הרשום שמציג מצגים נמשכים כאלה יהיה מנוע מלטעון בדיעבד כי לא די בהם כדי לבסס כוונת שיתוף ספציפית בנכס. </w:t>
      </w:r>
    </w:p>
    <w:p w:rsidR="003D5153" w:rsidRPr="00F021FC" w:rsidRDefault="003D5153" w:rsidP="003D5153">
      <w:pPr>
        <w:pStyle w:val="Ruller5"/>
        <w:spacing w:after="120" w:line="320" w:lineRule="exact"/>
        <w:ind w:left="1440" w:right="0"/>
        <w:rPr>
          <w:rFonts w:ascii="Times New Roman" w:hAnsi="Times New Roman"/>
          <w:b/>
          <w:bCs/>
          <w:i/>
          <w:iCs/>
          <w:spacing w:val="0"/>
          <w:sz w:val="24"/>
          <w:szCs w:val="26"/>
          <w:rtl/>
        </w:rPr>
      </w:pPr>
      <w:r w:rsidRPr="00F021FC">
        <w:rPr>
          <w:rFonts w:ascii="Times New Roman" w:hAnsi="Times New Roman"/>
          <w:b/>
          <w:bCs/>
          <w:i/>
          <w:iCs/>
          <w:spacing w:val="0"/>
          <w:sz w:val="24"/>
          <w:szCs w:val="26"/>
          <w:rtl/>
        </w:rPr>
        <w:t xml:space="preserve">במקרה דנן, כוונת הצדדים למכור את דירת המגורים ולהשתמש בכספי התמורה בצירוף החסכונות המשותפים, כדי לרכוש דירה חדשה משותפת – כפי שנקבע על ידי ביהמ"ש לענייני משפחה – מהווה "דבר מה נוסף" אשר בצירוף חיי הנישואין הארוכים שהתאפיינו ככלל בשיתוף, על אף העליות והמורדות, מעידים על כוונת שיתוף ספציפית בדירת המגורים. </w:t>
      </w:r>
    </w:p>
    <w:p w:rsidR="003D5153" w:rsidRPr="00F021FC" w:rsidRDefault="003D5153" w:rsidP="003D5153">
      <w:pPr>
        <w:pStyle w:val="Ruller5"/>
        <w:spacing w:after="120" w:line="320" w:lineRule="exact"/>
        <w:ind w:left="1440" w:right="0"/>
        <w:rPr>
          <w:rFonts w:ascii="Times New Roman" w:hAnsi="Times New Roman"/>
          <w:b/>
          <w:bCs/>
          <w:i/>
          <w:iCs/>
          <w:spacing w:val="0"/>
          <w:sz w:val="24"/>
          <w:szCs w:val="26"/>
          <w:rtl/>
        </w:rPr>
      </w:pPr>
      <w:r w:rsidRPr="00F021FC">
        <w:rPr>
          <w:rFonts w:ascii="Times New Roman" w:hAnsi="Times New Roman"/>
          <w:b/>
          <w:bCs/>
          <w:i/>
          <w:iCs/>
          <w:spacing w:val="0"/>
          <w:sz w:val="24"/>
          <w:szCs w:val="26"/>
          <w:rtl/>
        </w:rPr>
        <w:t>השופט י' עמית מסכים לאמור. ומוסיף, כי לטעמו, לצורך משקלו של אותו "דבר מה נוסף" הנדרש להוכחת כוונת שיתוף ספציפי יש להקל לגבי דירת המגורים לעומת נכסים אחרים שהובאו לנישואין על ידי אחד מבני הזוג. מבלי לקבוע מסמרות, הוא מציין מספר פרמטרים – אינם רשימה סגורה, וכל מקרה יידון לגופו – אשר יש להביא בחשבון בבחינת השאלה האם להכיר בשיתוף ספציפי בדירת המגורים.</w:t>
      </w:r>
      <w:r>
        <w:rPr>
          <w:rFonts w:ascii="Times New Roman" w:hAnsi="Times New Roman" w:hint="cs"/>
          <w:b/>
          <w:bCs/>
          <w:i/>
          <w:iCs/>
          <w:spacing w:val="0"/>
          <w:sz w:val="24"/>
          <w:szCs w:val="26"/>
          <w:rtl/>
        </w:rPr>
        <w:t>"</w:t>
      </w:r>
    </w:p>
    <w:p w:rsidR="003D5153" w:rsidRDefault="003D5153" w:rsidP="003D5153">
      <w:pPr>
        <w:pStyle w:val="aa"/>
        <w:rPr>
          <w:rFonts w:ascii="FrankRuehl" w:hAnsi="FrankRuehl" w:cs="FrankRuehl"/>
          <w:noProof w:val="0"/>
          <w:sz w:val="28"/>
          <w:szCs w:val="28"/>
          <w:rtl/>
        </w:rPr>
      </w:pPr>
    </w:p>
    <w:p w:rsidR="003D5153" w:rsidRDefault="003D5153" w:rsidP="003D5153">
      <w:pPr>
        <w:pStyle w:val="aa"/>
        <w:rPr>
          <w:rFonts w:ascii="FrankRuehl" w:hAnsi="FrankRuehl" w:cs="FrankRuehl"/>
          <w:noProof w:val="0"/>
          <w:sz w:val="28"/>
          <w:szCs w:val="28"/>
          <w:rtl/>
        </w:rPr>
      </w:pPr>
    </w:p>
    <w:p w:rsidR="003D5153" w:rsidRDefault="003D5153" w:rsidP="003D5153">
      <w:pPr>
        <w:pStyle w:val="aa"/>
        <w:rPr>
          <w:rFonts w:ascii="FrankRuehl" w:hAnsi="FrankRuehl" w:cs="FrankRuehl"/>
          <w:noProof w:val="0"/>
          <w:sz w:val="28"/>
          <w:szCs w:val="28"/>
          <w:rtl/>
        </w:rPr>
      </w:pPr>
    </w:p>
    <w:p w:rsidR="003D5153" w:rsidRPr="00F021FC"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וכך, וספציפית אמר בית המשפט העליון בגוף פסק הדין: </w:t>
      </w:r>
    </w:p>
    <w:p w:rsidR="003D5153" w:rsidRPr="00A910A1" w:rsidRDefault="003D5153" w:rsidP="003D5153">
      <w:pPr>
        <w:pStyle w:val="aa"/>
        <w:spacing w:line="360" w:lineRule="auto"/>
        <w:ind w:left="360"/>
        <w:jc w:val="both"/>
        <w:rPr>
          <w:rFonts w:ascii="FrankRuehl" w:hAnsi="FrankRuehl" w:cs="FrankRuehl"/>
          <w:noProof w:val="0"/>
          <w:sz w:val="28"/>
          <w:szCs w:val="28"/>
          <w:rtl/>
        </w:rPr>
      </w:pPr>
    </w:p>
    <w:p w:rsidR="003D5153" w:rsidRPr="003D5153" w:rsidRDefault="003D5153" w:rsidP="003D5153">
      <w:pPr>
        <w:pStyle w:val="Ruller40"/>
        <w:ind w:left="1440"/>
        <w:rPr>
          <w:rFonts w:ascii="Times New Roman" w:hAnsi="Times New Roman"/>
          <w:b/>
          <w:bCs/>
          <w:i/>
          <w:iCs/>
          <w:spacing w:val="6"/>
        </w:rPr>
      </w:pPr>
      <w:r w:rsidRPr="003D5153">
        <w:rPr>
          <w:rFonts w:ascii="Times New Roman" w:hAnsi="Times New Roman"/>
          <w:spacing w:val="6"/>
          <w:rtl/>
        </w:rPr>
        <w:tab/>
      </w:r>
      <w:r w:rsidRPr="003D5153">
        <w:rPr>
          <w:rFonts w:ascii="Times New Roman" w:hAnsi="Times New Roman" w:hint="cs"/>
          <w:b/>
          <w:bCs/>
          <w:i/>
          <w:iCs/>
          <w:spacing w:val="6"/>
          <w:rtl/>
        </w:rPr>
        <w:t>"</w:t>
      </w:r>
      <w:r w:rsidRPr="003D5153">
        <w:rPr>
          <w:rFonts w:ascii="Times New Roman" w:hAnsi="Times New Roman"/>
          <w:b/>
          <w:bCs/>
          <w:i/>
          <w:iCs/>
          <w:spacing w:val="6"/>
          <w:rtl/>
        </w:rPr>
        <w:t>זאת ועוד, המנגנון הקבוע ב</w:t>
      </w:r>
      <w:hyperlink r:id="rId8" w:history="1">
        <w:r w:rsidRPr="003D5153">
          <w:rPr>
            <w:rStyle w:val="Hyperlink"/>
            <w:rFonts w:ascii="Times New Roman" w:hAnsi="Times New Roman"/>
            <w:b/>
            <w:bCs/>
            <w:i/>
            <w:iCs/>
            <w:color w:val="auto"/>
            <w:spacing w:val="6"/>
            <w:u w:val="none"/>
            <w:rtl/>
          </w:rPr>
          <w:t>חוק יחסי ממון</w:t>
        </w:r>
      </w:hyperlink>
      <w:r w:rsidRPr="003D5153">
        <w:rPr>
          <w:rFonts w:ascii="Times New Roman" w:hAnsi="Times New Roman"/>
          <w:b/>
          <w:bCs/>
          <w:i/>
          <w:iCs/>
          <w:spacing w:val="6"/>
          <w:rtl/>
        </w:rPr>
        <w:t xml:space="preserve"> הינו בעיקרו מנגנון דיספוזיטיבי ובני הזוג רשאים להתנות עליו ולעצב מראש הסדר אחר כראות עיניהם על ידי עריכת הסכם ממון בכתב ובכפוף לאישורו בדרך הקבועה בחוק (</w:t>
      </w:r>
      <w:hyperlink r:id="rId9" w:history="1">
        <w:r w:rsidRPr="003D5153">
          <w:rPr>
            <w:rStyle w:val="Hyperlink"/>
            <w:rFonts w:ascii="Times New Roman" w:hAnsi="Times New Roman"/>
            <w:b/>
            <w:bCs/>
            <w:i/>
            <w:iCs/>
            <w:color w:val="auto"/>
            <w:spacing w:val="6"/>
            <w:u w:val="none"/>
            <w:rtl/>
          </w:rPr>
          <w:t>סעיפים 2-1</w:t>
        </w:r>
      </w:hyperlink>
      <w:r w:rsidRPr="003D5153">
        <w:rPr>
          <w:rFonts w:ascii="Times New Roman" w:hAnsi="Times New Roman"/>
          <w:b/>
          <w:bCs/>
          <w:i/>
          <w:iCs/>
          <w:spacing w:val="6"/>
          <w:rtl/>
        </w:rPr>
        <w:t xml:space="preserve"> לחוק). כאשר הצדדים לא עורכים מראש הסכם ממון, או כאשר נכרת הסכם ממון אך הוא שותק בנוגע לסוגיות שמוסדרות בחוק, יחול מניה וביה המנגנון הקבוע בחוק (</w:t>
      </w:r>
      <w:hyperlink r:id="rId10" w:history="1">
        <w:r w:rsidRPr="003D5153">
          <w:rPr>
            <w:rStyle w:val="Hyperlink"/>
            <w:rFonts w:ascii="Times New Roman" w:hAnsi="Times New Roman"/>
            <w:b/>
            <w:bCs/>
            <w:i/>
            <w:iCs/>
            <w:color w:val="auto"/>
            <w:spacing w:val="6"/>
            <w:u w:val="none"/>
            <w:rtl/>
          </w:rPr>
          <w:t>סעיף 3</w:t>
        </w:r>
      </w:hyperlink>
      <w:r w:rsidRPr="003D5153">
        <w:rPr>
          <w:rFonts w:ascii="Times New Roman" w:hAnsi="Times New Roman"/>
          <w:b/>
          <w:bCs/>
          <w:i/>
          <w:iCs/>
          <w:spacing w:val="6"/>
          <w:rtl/>
        </w:rPr>
        <w:t xml:space="preserve"> לחוק). הנה כי כן, לשונו של החוק ברורה וכך גם תכליתו: בעומדנו בנקודת הסיום של הנישואין, עלינו לנקוט, ככלל, </w:t>
      </w:r>
      <w:r w:rsidRPr="00D35FA4">
        <w:rPr>
          <w:rFonts w:ascii="Times New Roman" w:hAnsi="Times New Roman"/>
          <w:b/>
          <w:bCs/>
          <w:i/>
          <w:iCs/>
          <w:spacing w:val="6"/>
          <w:rtl/>
        </w:rPr>
        <w:t xml:space="preserve">במנגנון חלוקה שוויונית של כלל נכסי בני הזוג – </w:t>
      </w:r>
      <w:r w:rsidRPr="00D35FA4">
        <w:rPr>
          <w:rFonts w:ascii="Times New Roman" w:hAnsi="Times New Roman" w:cs="Miriam"/>
          <w:b/>
          <w:bCs/>
          <w:i/>
          <w:iCs/>
          <w:spacing w:val="6"/>
          <w:sz w:val="28"/>
          <w:szCs w:val="24"/>
          <w:rtl/>
        </w:rPr>
        <w:t>למעט</w:t>
      </w:r>
      <w:r w:rsidRPr="00D35FA4">
        <w:rPr>
          <w:rFonts w:ascii="Times New Roman" w:hAnsi="Times New Roman"/>
          <w:b/>
          <w:bCs/>
          <w:i/>
          <w:iCs/>
          <w:spacing w:val="6"/>
          <w:rtl/>
        </w:rPr>
        <w:t xml:space="preserve"> אותם נכסים שהוחרגו מהחלוקה מכוח החוק או מכוח הסכמת הצדדים – כאשר מטרתנו להביא לאיזון כלכלי בין בני הזוג ולצמצם את חוסר השוויון הגלום ביחסי הממון ביניהם אשר סיבותיו הינן, לרוב, חיצוניות [ראו עניין </w:t>
      </w:r>
      <w:r w:rsidRPr="00D35FA4">
        <w:rPr>
          <w:rFonts w:ascii="Times New Roman" w:hAnsi="Times New Roman" w:cs="Miriam"/>
          <w:b/>
          <w:bCs/>
          <w:i/>
          <w:iCs/>
          <w:spacing w:val="6"/>
          <w:sz w:val="24"/>
          <w:szCs w:val="24"/>
          <w:rtl/>
        </w:rPr>
        <w:t>יעקובי</w:t>
      </w:r>
      <w:r w:rsidRPr="00D35FA4">
        <w:rPr>
          <w:rFonts w:ascii="Times New Roman" w:hAnsi="Times New Roman"/>
          <w:b/>
          <w:bCs/>
          <w:i/>
          <w:iCs/>
          <w:spacing w:val="6"/>
          <w:rtl/>
        </w:rPr>
        <w:t xml:space="preserve"> בעמ' 553]. למען שלמות התמונה יוער כי בחוק נקבע גם חריג לכלל החלוקה השוויונית </w:t>
      </w:r>
      <w:r w:rsidRPr="003D5153">
        <w:rPr>
          <w:rFonts w:ascii="Times New Roman" w:hAnsi="Times New Roman"/>
          <w:b/>
          <w:bCs/>
          <w:i/>
          <w:iCs/>
          <w:spacing w:val="6"/>
          <w:rtl/>
        </w:rPr>
        <w:t>הקבוע ב</w:t>
      </w:r>
      <w:hyperlink r:id="rId11" w:history="1">
        <w:r w:rsidRPr="003D5153">
          <w:rPr>
            <w:rStyle w:val="Hyperlink"/>
            <w:rFonts w:ascii="Times New Roman" w:hAnsi="Times New Roman"/>
            <w:b/>
            <w:bCs/>
            <w:i/>
            <w:iCs/>
            <w:color w:val="auto"/>
            <w:spacing w:val="6"/>
            <w:u w:val="none"/>
            <w:rtl/>
          </w:rPr>
          <w:t>סעיף 5(א)</w:t>
        </w:r>
      </w:hyperlink>
      <w:r w:rsidRPr="003D5153">
        <w:rPr>
          <w:rFonts w:ascii="Times New Roman" w:hAnsi="Times New Roman"/>
          <w:b/>
          <w:bCs/>
          <w:i/>
          <w:iCs/>
          <w:spacing w:val="6"/>
          <w:rtl/>
        </w:rPr>
        <w:t xml:space="preserve"> לחוק, ובית המשפט מוסמך להורות על חלוקה בלתי שוויונית כאשר ישנן נסיבות מיוחדות המצדיקות זאת (</w:t>
      </w:r>
      <w:hyperlink r:id="rId12" w:history="1">
        <w:r w:rsidRPr="003D5153">
          <w:rPr>
            <w:rStyle w:val="Hyperlink"/>
            <w:rFonts w:ascii="Times New Roman" w:hAnsi="Times New Roman"/>
            <w:b/>
            <w:bCs/>
            <w:i/>
            <w:iCs/>
            <w:color w:val="auto"/>
            <w:spacing w:val="6"/>
            <w:u w:val="none"/>
            <w:rtl/>
          </w:rPr>
          <w:t>סעיף 8</w:t>
        </w:r>
      </w:hyperlink>
      <w:r w:rsidRPr="003D5153">
        <w:rPr>
          <w:rFonts w:ascii="Times New Roman" w:hAnsi="Times New Roman"/>
          <w:b/>
          <w:bCs/>
          <w:i/>
          <w:iCs/>
          <w:spacing w:val="6"/>
          <w:rtl/>
        </w:rPr>
        <w:t xml:space="preserve"> לחוק). </w:t>
      </w:r>
    </w:p>
    <w:p w:rsidR="003D5153" w:rsidRPr="003D5153" w:rsidRDefault="003D5153" w:rsidP="003D5153">
      <w:pPr>
        <w:pStyle w:val="Ruller40"/>
        <w:ind w:left="360"/>
        <w:rPr>
          <w:rFonts w:ascii="Times New Roman" w:hAnsi="Times New Roman"/>
          <w:b/>
          <w:bCs/>
          <w:i/>
          <w:iCs/>
          <w:spacing w:val="6"/>
          <w:rtl/>
        </w:rPr>
      </w:pPr>
    </w:p>
    <w:p w:rsidR="003D5153" w:rsidRPr="003D5153" w:rsidRDefault="003D5153" w:rsidP="003D5153">
      <w:pPr>
        <w:spacing w:line="360" w:lineRule="auto"/>
        <w:ind w:left="1440"/>
        <w:jc w:val="both"/>
        <w:rPr>
          <w:rFonts w:ascii="FrankRuehl" w:hAnsi="FrankRuehl" w:cs="FrankRuehl"/>
          <w:b/>
          <w:bCs/>
          <w:i/>
          <w:iCs/>
          <w:noProof w:val="0"/>
          <w:sz w:val="28"/>
          <w:szCs w:val="28"/>
          <w:rtl/>
        </w:rPr>
      </w:pPr>
      <w:r w:rsidRPr="00D35FA4">
        <w:rPr>
          <w:b/>
          <w:bCs/>
          <w:i/>
          <w:iCs/>
          <w:spacing w:val="6"/>
          <w:rtl/>
        </w:rPr>
        <w:t>14.</w:t>
      </w:r>
      <w:r w:rsidRPr="00D35FA4">
        <w:rPr>
          <w:b/>
          <w:bCs/>
          <w:i/>
          <w:iCs/>
          <w:spacing w:val="6"/>
          <w:rtl/>
        </w:rPr>
        <w:tab/>
        <w:t xml:space="preserve">במוקד דיוננו מצויה דירה שנרכשה על ידי אחד מבני הזוג (המשיב) טרם הנישואין וששימשה למגוריהם במהלך שנות נישואיהם. כאמור, הנחת המוצא הינה כי נכס שמצוי בבעלותו של אחד מבני הזוג בנקודת הפתיחה (ערב הנישואין) נותר בבעלותו המלאה גם בנקודת הסיום (התרת הנישואין) ואינו </w:t>
      </w:r>
      <w:r w:rsidRPr="003D5153">
        <w:rPr>
          <w:b/>
          <w:bCs/>
          <w:i/>
          <w:iCs/>
          <w:spacing w:val="6"/>
          <w:rtl/>
        </w:rPr>
        <w:t xml:space="preserve">נכלל במאסת הנכסים במסגרת הסדר איזון המשאבים. יחד עם זאת, הנחת מוצא זו אינה סוף פסוק. בית משפט זה קבע במספר הזדמנויות כי </w:t>
      </w:r>
      <w:hyperlink r:id="rId13" w:history="1">
        <w:r w:rsidRPr="003D5153">
          <w:rPr>
            <w:rStyle w:val="Hyperlink"/>
            <w:b/>
            <w:bCs/>
            <w:i/>
            <w:iCs/>
            <w:color w:val="auto"/>
            <w:spacing w:val="6"/>
            <w:u w:val="none"/>
            <w:rtl/>
          </w:rPr>
          <w:t>סעיף 5(א)</w:t>
        </w:r>
      </w:hyperlink>
      <w:r w:rsidRPr="003D5153">
        <w:rPr>
          <w:b/>
          <w:bCs/>
          <w:i/>
          <w:iCs/>
          <w:spacing w:val="6"/>
          <w:rtl/>
        </w:rPr>
        <w:t xml:space="preserve"> ל</w:t>
      </w:r>
      <w:hyperlink r:id="rId14" w:history="1">
        <w:r w:rsidRPr="003D5153">
          <w:rPr>
            <w:rStyle w:val="Hyperlink"/>
            <w:b/>
            <w:bCs/>
            <w:i/>
            <w:iCs/>
            <w:color w:val="auto"/>
            <w:spacing w:val="6"/>
            <w:u w:val="none"/>
            <w:rtl/>
          </w:rPr>
          <w:t>חוק יחסי ממון</w:t>
        </w:r>
      </w:hyperlink>
      <w:r w:rsidRPr="003D5153">
        <w:rPr>
          <w:b/>
          <w:bCs/>
          <w:i/>
          <w:iCs/>
          <w:spacing w:val="6"/>
          <w:rtl/>
        </w:rPr>
        <w:t xml:space="preserve"> אינו מונע יצירת שיתוף בנכס ספציפי מכוח הדין הכללי החל על העניין – כגון דיני הקניין, דיני החוזים, דיני הנאמנות, עיקרון תום הלב </w:t>
      </w:r>
      <w:r w:rsidRPr="00D35FA4">
        <w:rPr>
          <w:b/>
          <w:bCs/>
          <w:i/>
          <w:iCs/>
          <w:spacing w:val="6"/>
          <w:rtl/>
        </w:rPr>
        <w:t xml:space="preserve">וכיו"ב – וכי הדברים אמורים גם בנכס "חיצוני" שנרכש על ידי אחד מבני הזוג טרם הנישואין [ראו: עניין </w:t>
      </w:r>
      <w:r w:rsidRPr="00D35FA4">
        <w:rPr>
          <w:rFonts w:cs="Miriam"/>
          <w:b/>
          <w:bCs/>
          <w:i/>
          <w:iCs/>
          <w:spacing w:val="6"/>
          <w:rtl/>
        </w:rPr>
        <w:t>אבו רומי</w:t>
      </w:r>
      <w:r w:rsidRPr="00D35FA4">
        <w:rPr>
          <w:b/>
          <w:bCs/>
          <w:i/>
          <w:iCs/>
          <w:spacing w:val="6"/>
          <w:rtl/>
        </w:rPr>
        <w:t xml:space="preserve"> בעמ' 183; עניין </w:t>
      </w:r>
      <w:r w:rsidRPr="00D35FA4">
        <w:rPr>
          <w:rFonts w:cs="Miriam"/>
          <w:b/>
          <w:bCs/>
          <w:i/>
          <w:iCs/>
          <w:spacing w:val="6"/>
          <w:rtl/>
        </w:rPr>
        <w:t>יעקובי</w:t>
      </w:r>
      <w:r w:rsidRPr="00D35FA4">
        <w:rPr>
          <w:b/>
          <w:bCs/>
          <w:i/>
          <w:iCs/>
          <w:spacing w:val="6"/>
          <w:rtl/>
        </w:rPr>
        <w:t xml:space="preserve"> בעמ' 561 </w:t>
      </w:r>
      <w:r w:rsidRPr="003D5153">
        <w:rPr>
          <w:b/>
          <w:bCs/>
          <w:i/>
          <w:iCs/>
          <w:spacing w:val="6"/>
          <w:rtl/>
        </w:rPr>
        <w:lastRenderedPageBreak/>
        <w:t xml:space="preserve">(הנשיא מ' שמגר) ובעמ' 621 (השופט ט' שטרסברג-כהן); עניין </w:t>
      </w:r>
      <w:r w:rsidRPr="003D5153">
        <w:rPr>
          <w:rFonts w:cs="Miriam"/>
          <w:b/>
          <w:bCs/>
          <w:i/>
          <w:iCs/>
          <w:spacing w:val="6"/>
          <w:rtl/>
        </w:rPr>
        <w:t>ששון</w:t>
      </w:r>
      <w:r w:rsidRPr="003D5153">
        <w:rPr>
          <w:b/>
          <w:bCs/>
          <w:i/>
          <w:iCs/>
          <w:spacing w:val="6"/>
          <w:rtl/>
        </w:rPr>
        <w:t xml:space="preserve"> בעמ' 615; </w:t>
      </w:r>
      <w:hyperlink r:id="rId15" w:history="1">
        <w:r w:rsidRPr="003D5153">
          <w:rPr>
            <w:rStyle w:val="Hyperlink"/>
            <w:rFonts w:cs="Miriam"/>
            <w:b/>
            <w:bCs/>
            <w:i/>
            <w:iCs/>
            <w:color w:val="auto"/>
            <w:spacing w:val="6"/>
            <w:u w:val="none"/>
            <w:rtl/>
          </w:rPr>
          <w:t>בע"מ 10734/06</w:t>
        </w:r>
      </w:hyperlink>
      <w:r w:rsidRPr="003D5153">
        <w:rPr>
          <w:b/>
          <w:bCs/>
          <w:i/>
          <w:iCs/>
          <w:spacing w:val="6"/>
          <w:rtl/>
        </w:rPr>
        <w:t xml:space="preserve"> </w:t>
      </w:r>
      <w:r w:rsidRPr="003D5153">
        <w:rPr>
          <w:b/>
          <w:bCs/>
          <w:i/>
          <w:iCs/>
          <w:rtl/>
        </w:rPr>
        <w:t xml:space="preserve">[פורסם בנבו] </w:t>
      </w:r>
      <w:r w:rsidRPr="003D5153">
        <w:rPr>
          <w:b/>
          <w:bCs/>
          <w:i/>
          <w:iCs/>
          <w:spacing w:val="6"/>
          <w:rtl/>
        </w:rPr>
        <w:t>בפסקה ה(1)]. נטל ההוכחה מוטל, מטבע הדברים, על בן הזוג שאינו רשום כבעלים של הנכס, שהינו "המוציא מחברו". יודגש כי טענת אחד מבני הזוג לזכויות בנכס שנרכש על ידי בן הזוג השני טרם הנישואין יכולה להתבסס על הדין הכללי, אך לא על חזקת השיתוף, אשר לגביה נקבע שאינה חלה במקביל להסדר איזון המשאבים שב</w:t>
      </w:r>
      <w:hyperlink r:id="rId16" w:history="1">
        <w:r w:rsidRPr="003D5153">
          <w:rPr>
            <w:rStyle w:val="Hyperlink"/>
            <w:b/>
            <w:bCs/>
            <w:i/>
            <w:iCs/>
            <w:color w:val="auto"/>
            <w:spacing w:val="6"/>
            <w:u w:val="none"/>
            <w:rtl/>
          </w:rPr>
          <w:t>חוק יחסי ממון</w:t>
        </w:r>
      </w:hyperlink>
      <w:r w:rsidRPr="003D5153">
        <w:rPr>
          <w:b/>
          <w:bCs/>
          <w:i/>
          <w:iCs/>
          <w:spacing w:val="6"/>
          <w:rtl/>
        </w:rPr>
        <w:t xml:space="preserve"> [ראו: דעת הרוב בעניין </w:t>
      </w:r>
      <w:r w:rsidRPr="003D5153">
        <w:rPr>
          <w:rFonts w:cs="Miriam"/>
          <w:b/>
          <w:bCs/>
          <w:i/>
          <w:iCs/>
          <w:spacing w:val="6"/>
          <w:rtl/>
        </w:rPr>
        <w:t>יעקובי</w:t>
      </w:r>
      <w:r w:rsidRPr="003D5153">
        <w:rPr>
          <w:b/>
          <w:bCs/>
          <w:i/>
          <w:iCs/>
          <w:spacing w:val="6"/>
          <w:rtl/>
        </w:rPr>
        <w:t xml:space="preserve"> בעמ' 589-585; עניין </w:t>
      </w:r>
      <w:r w:rsidRPr="003D5153">
        <w:rPr>
          <w:rFonts w:cs="Miriam"/>
          <w:b/>
          <w:bCs/>
          <w:i/>
          <w:iCs/>
          <w:spacing w:val="6"/>
          <w:rtl/>
        </w:rPr>
        <w:t>אבו רומי</w:t>
      </w:r>
      <w:r w:rsidRPr="003D5153">
        <w:rPr>
          <w:b/>
          <w:bCs/>
          <w:i/>
          <w:iCs/>
          <w:spacing w:val="6"/>
          <w:rtl/>
        </w:rPr>
        <w:t xml:space="preserve"> בעמ' 183-182; </w:t>
      </w:r>
      <w:hyperlink r:id="rId17" w:history="1">
        <w:r w:rsidRPr="003D5153">
          <w:rPr>
            <w:rStyle w:val="Hyperlink"/>
            <w:b/>
            <w:bCs/>
            <w:i/>
            <w:iCs/>
            <w:color w:val="auto"/>
            <w:spacing w:val="6"/>
            <w:u w:val="none"/>
            <w:rtl/>
          </w:rPr>
          <w:t>בע"מ 4951/06</w:t>
        </w:r>
      </w:hyperlink>
      <w:r w:rsidRPr="003D5153">
        <w:rPr>
          <w:b/>
          <w:bCs/>
          <w:i/>
          <w:iCs/>
          <w:spacing w:val="6"/>
          <w:rtl/>
        </w:rPr>
        <w:t xml:space="preserve"> </w:t>
      </w:r>
      <w:r w:rsidRPr="003D5153">
        <w:rPr>
          <w:rFonts w:cs="Miriam"/>
          <w:b/>
          <w:bCs/>
          <w:i/>
          <w:iCs/>
          <w:spacing w:val="6"/>
          <w:rtl/>
        </w:rPr>
        <w:t>פלוני נ' פלונית</w:t>
      </w:r>
      <w:r w:rsidRPr="003D5153">
        <w:rPr>
          <w:b/>
          <w:bCs/>
          <w:i/>
          <w:iCs/>
          <w:spacing w:val="6"/>
          <w:rtl/>
        </w:rPr>
        <w:t xml:space="preserve"> (</w:t>
      </w:r>
      <w:r w:rsidRPr="003D5153">
        <w:rPr>
          <w:b/>
          <w:bCs/>
          <w:i/>
          <w:iCs/>
          <w:rtl/>
        </w:rPr>
        <w:t>[פורסם בנבו]</w:t>
      </w:r>
      <w:r w:rsidRPr="003D5153">
        <w:rPr>
          <w:b/>
          <w:bCs/>
          <w:i/>
          <w:iCs/>
          <w:spacing w:val="6"/>
          <w:rtl/>
        </w:rPr>
        <w:t>, 14.6.2006)].</w:t>
      </w:r>
      <w:r w:rsidRPr="003D5153">
        <w:rPr>
          <w:rFonts w:ascii="FrankRuehl" w:hAnsi="FrankRuehl" w:cs="FrankRuehl" w:hint="cs"/>
          <w:b/>
          <w:bCs/>
          <w:i/>
          <w:iCs/>
          <w:noProof w:val="0"/>
          <w:sz w:val="28"/>
          <w:szCs w:val="28"/>
          <w:rtl/>
        </w:rPr>
        <w:t>"</w:t>
      </w:r>
    </w:p>
    <w:p w:rsidR="003D5153" w:rsidRDefault="003D5153" w:rsidP="003D5153">
      <w:pPr>
        <w:spacing w:line="360" w:lineRule="auto"/>
        <w:jc w:val="center"/>
        <w:rPr>
          <w:rFonts w:ascii="Arial" w:hAnsi="Arial"/>
          <w:noProof w:val="0"/>
          <w:sz w:val="28"/>
          <w:szCs w:val="28"/>
          <w:rtl/>
        </w:rPr>
      </w:pPr>
      <w:r>
        <w:rPr>
          <w:rFonts w:ascii="Arial" w:hAnsi="Arial" w:hint="cs"/>
          <w:noProof w:val="0"/>
          <w:sz w:val="28"/>
          <w:szCs w:val="28"/>
          <w:rtl/>
        </w:rPr>
        <w:t>...</w:t>
      </w:r>
    </w:p>
    <w:p w:rsidR="003D5153" w:rsidRPr="00D35FA4" w:rsidRDefault="003D5153" w:rsidP="003D5153">
      <w:pPr>
        <w:pStyle w:val="Ruller40"/>
        <w:ind w:left="1440"/>
        <w:rPr>
          <w:rFonts w:ascii="Times New Roman" w:hAnsi="Times New Roman"/>
          <w:b/>
          <w:bCs/>
          <w:i/>
          <w:iCs/>
          <w:spacing w:val="6"/>
        </w:rPr>
      </w:pPr>
      <w:r w:rsidRPr="00D35FA4">
        <w:rPr>
          <w:rFonts w:ascii="Times New Roman" w:hAnsi="Times New Roman" w:hint="cs"/>
          <w:b/>
          <w:bCs/>
          <w:i/>
          <w:iCs/>
          <w:spacing w:val="6"/>
          <w:rtl/>
        </w:rPr>
        <w:t>"</w:t>
      </w:r>
      <w:r w:rsidRPr="00D35FA4">
        <w:rPr>
          <w:rFonts w:ascii="Times New Roman" w:hAnsi="Times New Roman"/>
          <w:b/>
          <w:bCs/>
          <w:i/>
          <w:iCs/>
          <w:spacing w:val="6"/>
          <w:rtl/>
        </w:rPr>
        <w:t>אשר לשאלה מהן אותן נסיבות עובדתיות "נוספות" שיוכיחו כוונת שיתוף מכוח הדין הכללי, נקבע כי:</w:t>
      </w:r>
    </w:p>
    <w:p w:rsidR="003D5153" w:rsidRPr="00D35FA4" w:rsidRDefault="003D5153" w:rsidP="003D5153">
      <w:pPr>
        <w:pStyle w:val="Ruller40"/>
        <w:rPr>
          <w:rFonts w:ascii="Times New Roman" w:hAnsi="Times New Roman"/>
          <w:b/>
          <w:bCs/>
          <w:i/>
          <w:iCs/>
          <w:spacing w:val="6"/>
          <w:rtl/>
        </w:rPr>
      </w:pPr>
    </w:p>
    <w:p w:rsidR="003D5153" w:rsidRPr="00D35FA4" w:rsidRDefault="003D5153" w:rsidP="003D5153">
      <w:pPr>
        <w:spacing w:line="360" w:lineRule="auto"/>
        <w:ind w:left="2160"/>
        <w:jc w:val="both"/>
        <w:rPr>
          <w:rFonts w:ascii="Arial" w:hAnsi="Arial"/>
          <w:b/>
          <w:bCs/>
          <w:i/>
          <w:iCs/>
          <w:noProof w:val="0"/>
          <w:sz w:val="28"/>
          <w:szCs w:val="28"/>
          <w:rtl/>
        </w:rPr>
      </w:pPr>
      <w:r w:rsidRPr="00D35FA4">
        <w:rPr>
          <w:rFonts w:eastAsia="MS Mincho"/>
          <w:b/>
          <w:bCs/>
          <w:i/>
          <w:iCs/>
          <w:spacing w:val="6"/>
          <w:rtl/>
        </w:rPr>
        <w:t xml:space="preserve">"'גבולות הגזרה' אינם חדים, אך כך מטבע הדברים: אי אפשר לקבוע מראש כללים ברורים באשר לכל האפשרויות שמזמנת המציאות האנושית. לכן גם מתלבטים בתי המשפט ממקרה למקרה, באשר לנכס הספציפי בו מדובר וכוונת הצדדים לגביו. </w:t>
      </w:r>
      <w:r w:rsidRPr="00D35FA4">
        <w:rPr>
          <w:rFonts w:eastAsia="MS Mincho" w:cs="Miriam"/>
          <w:b/>
          <w:bCs/>
          <w:i/>
          <w:iCs/>
          <w:spacing w:val="6"/>
          <w:rtl/>
        </w:rPr>
        <w:t>הפרשנות בה דיברנו יסודה בשיקולי הגינות במקרים שבהם הכף נוטה, במכלול ההשקעות בנכס, בהתנהגות הצדדים הכרוכה בו, לעבר השיתוף.</w:t>
      </w:r>
      <w:r>
        <w:rPr>
          <w:rFonts w:ascii="Arial" w:hAnsi="Arial" w:hint="cs"/>
          <w:b/>
          <w:bCs/>
          <w:i/>
          <w:iCs/>
          <w:noProof w:val="0"/>
          <w:sz w:val="28"/>
          <w:szCs w:val="28"/>
          <w:rtl/>
        </w:rPr>
        <w:t>"</w:t>
      </w:r>
    </w:p>
    <w:p w:rsidR="003D5153" w:rsidRDefault="003D5153" w:rsidP="003D5153">
      <w:pPr>
        <w:pStyle w:val="aa"/>
        <w:rPr>
          <w:rFonts w:ascii="FrankRuehl" w:hAnsi="FrankRuehl" w:cs="FrankRuehl"/>
          <w:noProof w:val="0"/>
          <w:sz w:val="28"/>
          <w:szCs w:val="28"/>
          <w:rtl/>
        </w:rPr>
      </w:pPr>
      <w:r>
        <w:rPr>
          <w:rFonts w:ascii="Arial" w:hAnsi="Arial"/>
          <w:noProof w:val="0"/>
          <w:rtl/>
        </w:rPr>
        <w:tab/>
      </w:r>
      <w:r>
        <w:rPr>
          <w:rFonts w:ascii="FrankRuehl" w:hAnsi="FrankRuehl" w:cs="FrankRuehl" w:hint="cs"/>
          <w:noProof w:val="0"/>
          <w:sz w:val="28"/>
          <w:szCs w:val="28"/>
          <w:rtl/>
        </w:rPr>
        <w:t>(ראה: "</w:t>
      </w:r>
      <w:r w:rsidRPr="00997D35">
        <w:rPr>
          <w:rFonts w:ascii="FrankRuehl" w:hAnsi="FrankRuehl" w:cs="FrankRuehl" w:hint="cs"/>
          <w:b/>
          <w:bCs/>
          <w:noProof w:val="0"/>
          <w:sz w:val="28"/>
          <w:szCs w:val="28"/>
          <w:rtl/>
        </w:rPr>
        <w:t>בע"מ 1398</w:t>
      </w:r>
      <w:r>
        <w:rPr>
          <w:rFonts w:ascii="FrankRuehl" w:hAnsi="FrankRuehl" w:cs="FrankRuehl" w:hint="cs"/>
          <w:noProof w:val="0"/>
          <w:sz w:val="28"/>
          <w:szCs w:val="28"/>
          <w:rtl/>
        </w:rPr>
        <w:t>", שם).</w:t>
      </w:r>
    </w:p>
    <w:p w:rsidR="003D5153" w:rsidRDefault="003D5153" w:rsidP="003D5153">
      <w:pPr>
        <w:spacing w:line="360" w:lineRule="auto"/>
        <w:jc w:val="both"/>
        <w:rPr>
          <w:rFonts w:ascii="Arial" w:hAnsi="Arial"/>
          <w:noProof w:val="0"/>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על עניין אחד אין מחלוקת, כאמור </w:t>
      </w:r>
      <w:r>
        <w:rPr>
          <w:rFonts w:ascii="FrankRuehl" w:hAnsi="FrankRuehl" w:cs="FrankRuehl"/>
          <w:noProof w:val="0"/>
          <w:sz w:val="28"/>
          <w:szCs w:val="28"/>
          <w:rtl/>
        </w:rPr>
        <w:t>–</w:t>
      </w:r>
      <w:r>
        <w:rPr>
          <w:rFonts w:ascii="FrankRuehl" w:hAnsi="FrankRuehl" w:cs="FrankRuehl" w:hint="cs"/>
          <w:noProof w:val="0"/>
          <w:sz w:val="28"/>
          <w:szCs w:val="28"/>
          <w:rtl/>
        </w:rPr>
        <w:t xml:space="preserve"> שיתוף ספציפי בנכס חיצוני נשלט על-ידי שיקולי הגינות וצדק. </w:t>
      </w:r>
    </w:p>
    <w:p w:rsidR="003D5153" w:rsidRPr="006F7BFF" w:rsidRDefault="003D5153" w:rsidP="003D5153">
      <w:pPr>
        <w:pStyle w:val="aa"/>
        <w:spacing w:line="360" w:lineRule="auto"/>
        <w:ind w:left="360"/>
        <w:jc w:val="both"/>
        <w:rPr>
          <w:rFonts w:ascii="FrankRuehl" w:hAnsi="FrankRuehl" w:cs="FrankRuehl"/>
          <w:noProof w:val="0"/>
          <w:sz w:val="28"/>
          <w:szCs w:val="28"/>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ברור ונדמה לכל, שאין דומים שניים שיחסיהם הגיעו אל קיצם והם מבקשים צדק ממוני שוויוני ואיזון ראוי לעומת מצב בו הלך בן זוג לבית עולמו, הוריש ביד רחבה לבן זוגו מנכסיו החיצוניים, הסתמך על צוואתו ולא חזה כי בן זוגו יבקש לפגוע בירושת ילדיו. </w:t>
      </w:r>
    </w:p>
    <w:p w:rsidR="003D5153" w:rsidRPr="006F7BFF"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על סוגיית חובת הורה ובן זוג לנהוג לא רק תום לב, אלא גם הגינות, עמדתי כבר בעבר (וראה: תה"ס (ת"א) 963-07-13 </w:t>
      </w:r>
      <w:r w:rsidRPr="002D6964">
        <w:rPr>
          <w:rFonts w:ascii="FrankRuehl" w:hAnsi="FrankRuehl" w:cs="FrankRuehl" w:hint="cs"/>
          <w:b/>
          <w:bCs/>
          <w:noProof w:val="0"/>
          <w:sz w:val="28"/>
          <w:szCs w:val="28"/>
          <w:rtl/>
        </w:rPr>
        <w:t>ש. מ. נ' ו. מ.</w:t>
      </w:r>
      <w:r>
        <w:rPr>
          <w:rFonts w:ascii="FrankRuehl" w:hAnsi="FrankRuehl" w:cs="FrankRuehl" w:hint="cs"/>
          <w:noProof w:val="0"/>
          <w:sz w:val="28"/>
          <w:szCs w:val="28"/>
          <w:rtl/>
        </w:rPr>
        <w:t xml:space="preserve"> {פמ"מ </w:t>
      </w:r>
      <w:r>
        <w:rPr>
          <w:rFonts w:ascii="FrankRuehl" w:hAnsi="FrankRuehl" w:cs="FrankRuehl"/>
          <w:noProof w:val="0"/>
          <w:sz w:val="28"/>
          <w:szCs w:val="28"/>
          <w:rtl/>
        </w:rPr>
        <w:t>–</w:t>
      </w:r>
      <w:r>
        <w:rPr>
          <w:rFonts w:ascii="FrankRuehl" w:hAnsi="FrankRuehl" w:cs="FrankRuehl" w:hint="cs"/>
          <w:noProof w:val="0"/>
          <w:sz w:val="28"/>
          <w:szCs w:val="28"/>
          <w:rtl/>
        </w:rPr>
        <w:t xml:space="preserve"> 16.02.2017}).</w:t>
      </w:r>
    </w:p>
    <w:p w:rsidR="003D5153" w:rsidRPr="002D6964" w:rsidRDefault="003D5153" w:rsidP="003D5153">
      <w:pPr>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lastRenderedPageBreak/>
        <w:t xml:space="preserve">השאלה שלפניי היא האם תביעה לצדק בפניי, שמא התחכמות משפטית, המנסה לעשות עושר ולא במשפט, על גב הפסיקה. </w:t>
      </w:r>
    </w:p>
    <w:p w:rsidR="003D5153" w:rsidRPr="002D6964" w:rsidRDefault="003D5153" w:rsidP="003D5153">
      <w:pPr>
        <w:spacing w:line="360" w:lineRule="auto"/>
        <w:jc w:val="both"/>
        <w:rPr>
          <w:rFonts w:ascii="FrankRuehl" w:hAnsi="FrankRuehl" w:cs="FrankRuehl"/>
          <w:noProof w:val="0"/>
          <w:sz w:val="28"/>
          <w:szCs w:val="28"/>
          <w:rtl/>
        </w:rPr>
      </w:pPr>
    </w:p>
    <w:p w:rsidR="003D5153" w:rsidRPr="004D098E" w:rsidRDefault="003D5153" w:rsidP="003D5153">
      <w:pPr>
        <w:spacing w:line="360" w:lineRule="auto"/>
        <w:jc w:val="both"/>
        <w:rPr>
          <w:rFonts w:ascii="FrankRuehl" w:hAnsi="FrankRuehl" w:cs="FrankRuehl"/>
          <w:b/>
          <w:bCs/>
          <w:noProof w:val="0"/>
          <w:sz w:val="28"/>
          <w:szCs w:val="28"/>
          <w:u w:val="single"/>
          <w:rtl/>
        </w:rPr>
      </w:pPr>
      <w:r w:rsidRPr="004D098E">
        <w:rPr>
          <w:rFonts w:ascii="FrankRuehl" w:hAnsi="FrankRuehl" w:cs="FrankRuehl" w:hint="cs"/>
          <w:b/>
          <w:bCs/>
          <w:noProof w:val="0"/>
          <w:sz w:val="28"/>
          <w:szCs w:val="28"/>
          <w:u w:val="single"/>
          <w:rtl/>
        </w:rPr>
        <w:t>מן הכלל אל הפרט</w:t>
      </w:r>
    </w:p>
    <w:p w:rsidR="003D5153" w:rsidRPr="004D098E" w:rsidRDefault="003D5153" w:rsidP="003D5153">
      <w:pPr>
        <w:spacing w:line="360" w:lineRule="auto"/>
        <w:jc w:val="both"/>
        <w:rPr>
          <w:rFonts w:ascii="FrankRuehl" w:hAnsi="FrankRuehl" w:cs="FrankRuehl"/>
          <w:noProof w:val="0"/>
          <w:sz w:val="28"/>
          <w:szCs w:val="28"/>
          <w:u w:val="single"/>
        </w:rPr>
      </w:pPr>
      <w:r w:rsidRPr="004D098E">
        <w:rPr>
          <w:rFonts w:ascii="FrankRuehl" w:hAnsi="FrankRuehl" w:cs="FrankRuehl" w:hint="cs"/>
          <w:noProof w:val="0"/>
          <w:sz w:val="28"/>
          <w:szCs w:val="28"/>
          <w:u w:val="single"/>
          <w:rtl/>
        </w:rPr>
        <w:t>השבה לחשבון</w:t>
      </w: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הרעיון של התובע הוא בערך כך: "משהושקעו כספים בנכסי המנוחה מכספים בחשבון משותף, צריכה היתה המנוחה להשיבם, ואלו לא הושבו במלואם". </w:t>
      </w:r>
    </w:p>
    <w:p w:rsidR="003D5153" w:rsidRDefault="003D5153" w:rsidP="003D5153">
      <w:pPr>
        <w:pStyle w:val="aa"/>
        <w:spacing w:line="360" w:lineRule="auto"/>
        <w:ind w:left="360"/>
        <w:jc w:val="both"/>
        <w:rPr>
          <w:rFonts w:ascii="FrankRuehl" w:hAnsi="FrankRuehl" w:cs="FrankRuehl"/>
          <w:noProof w:val="0"/>
          <w:sz w:val="28"/>
          <w:szCs w:val="28"/>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לשיטתו של התובע, אין מגיעה לו מחצית מאותם כספים שלא השיבה כביכול המנוחה, אלא את כל הכספים, אף שהמקור הוא חשבון משותף, הואיל והוא ירש מכוח צוואת המנוחה את החשבון המשותף ולכן, לשיטתו, הוא יורש את כל ההתחייבויות לו, משל היה החשבון אישיות משפטית נפרדת, והרי יודעים אנו כי בעלות בחשבון אינה מפרה את הזכות לאיזון משאבים. </w:t>
      </w:r>
    </w:p>
    <w:p w:rsidR="003D5153" w:rsidRPr="00AF3103"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אומר, כי לטעמי לא צריכה המנוחה לחוב לתובע עצמו, כאשר העניקה לו בצוואתה מהחשבון יותר ממחצית, שהרי מדובר בחשבון "משותף". </w:t>
      </w:r>
    </w:p>
    <w:p w:rsidR="003D5153" w:rsidRPr="0063367E"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בעת הענקת החשבון המשותף בצוואה לתובע, התכוונה מן הסתם המנוחה להענקת החשבון עצמו, לאמור היתרות שבו ולא הענקת זכויות תביעה "בשם החשבון". </w:t>
      </w:r>
    </w:p>
    <w:p w:rsidR="003D5153" w:rsidRPr="0063367E"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כאשר מוגשת תובענה לא הוגנת, לאמור על כל הסכום, נתפס התובע כמי שמנסה, בחוסר תום לב, לתבוע רב ככל האפשר. </w:t>
      </w:r>
    </w:p>
    <w:p w:rsidR="003D5153" w:rsidRPr="0063367E"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לשיטת הנתבע, טענות התובע לעניין חוסר תפקודה של המנוחה לעניין השיפוץ אינן אלא אי אמת. ועוד לשיטתם, המנוחה לא רק שילמה את הסך המגיע לקבלן לעניין השיפוץ נשוא התובענה הכספית, אלא פרעה סך 30,000 ₪ מעבר לכך (וראה סעיף 61). </w:t>
      </w:r>
    </w:p>
    <w:p w:rsidR="003D5153" w:rsidRPr="009F1805"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לשיטת הנתבע, הועבר על-ידי המנוחה לחשבון המשותף סך 165,000 ₪ (ולא סך 154,000 ₪). </w:t>
      </w:r>
    </w:p>
    <w:p w:rsidR="003D5153" w:rsidRPr="009F1805"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נחה דעתי כי לא הוכחה עלות שיפוץ, מעבר לסך 300,000 ₪, מכספים משותפים. </w:t>
      </w:r>
    </w:p>
    <w:p w:rsidR="003D5153" w:rsidRDefault="003D5153" w:rsidP="003D5153">
      <w:pPr>
        <w:pStyle w:val="aa"/>
        <w:spacing w:line="360" w:lineRule="auto"/>
        <w:ind w:left="360"/>
        <w:jc w:val="both"/>
        <w:rPr>
          <w:rFonts w:ascii="FrankRuehl" w:hAnsi="FrankRuehl" w:cs="FrankRuehl"/>
          <w:noProof w:val="0"/>
          <w:sz w:val="28"/>
          <w:szCs w:val="28"/>
        </w:rPr>
      </w:pPr>
      <w:r>
        <w:rPr>
          <w:rFonts w:ascii="FrankRuehl" w:hAnsi="FrankRuehl" w:cs="FrankRuehl" w:hint="cs"/>
          <w:noProof w:val="0"/>
          <w:sz w:val="28"/>
          <w:szCs w:val="28"/>
          <w:rtl/>
        </w:rPr>
        <w:t xml:space="preserve">סך 165,000 ₪ הושב על-ידי המנוחה וסך 150,000 ₪ נמשך על-ידי התובע, מכספי העיזבון. </w:t>
      </w:r>
    </w:p>
    <w:p w:rsidR="003D5153" w:rsidRPr="009F1805"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אעיר עוד, כי ההסכם שנערך בין התובע לבין המנוחה לעניין השבת כספים משותפים אשר מימנו השיפוץ מכספי המנוחה, רק מחזק את הטענה בדבר הפרדה רכושית מלאה בין הצדדים. </w:t>
      </w:r>
    </w:p>
    <w:p w:rsidR="003D5153" w:rsidRDefault="003D5153" w:rsidP="003D5153">
      <w:pPr>
        <w:pStyle w:val="aa"/>
        <w:spacing w:line="360" w:lineRule="auto"/>
        <w:ind w:left="360"/>
        <w:jc w:val="both"/>
        <w:rPr>
          <w:rFonts w:ascii="FrankRuehl" w:hAnsi="FrankRuehl" w:cs="FrankRuehl"/>
          <w:noProof w:val="0"/>
          <w:sz w:val="28"/>
          <w:szCs w:val="28"/>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לטעמי, יש לראות בתובע, לעניין זה, כמי שלא רק שלא הצליח להוכיח צדקת תביעתו הכספית, אלא כמי שניסה להוליך שולל ולפגוע בירושת ילדיו שלו. </w:t>
      </w:r>
    </w:p>
    <w:p w:rsidR="003D5153" w:rsidRPr="009F1805"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רכיב זה בתובענה נדחה. </w:t>
      </w:r>
    </w:p>
    <w:p w:rsidR="003D5153" w:rsidRDefault="003D5153" w:rsidP="003D5153">
      <w:pPr>
        <w:rPr>
          <w:rFonts w:ascii="FrankRuehl" w:hAnsi="FrankRuehl" w:cs="FrankRuehl"/>
          <w:noProof w:val="0"/>
          <w:sz w:val="28"/>
          <w:szCs w:val="28"/>
          <w:rtl/>
        </w:rPr>
      </w:pPr>
    </w:p>
    <w:p w:rsidR="003D5153" w:rsidRPr="009F1805" w:rsidRDefault="003D5153" w:rsidP="003D5153">
      <w:pPr>
        <w:spacing w:line="360" w:lineRule="auto"/>
        <w:rPr>
          <w:rFonts w:ascii="FrankRuehl" w:hAnsi="FrankRuehl" w:cs="FrankRuehl"/>
          <w:b/>
          <w:bCs/>
          <w:noProof w:val="0"/>
          <w:sz w:val="28"/>
          <w:szCs w:val="28"/>
          <w:u w:val="single"/>
          <w:rtl/>
        </w:rPr>
      </w:pPr>
      <w:r w:rsidRPr="009F1805">
        <w:rPr>
          <w:rFonts w:ascii="FrankRuehl" w:hAnsi="FrankRuehl" w:cs="FrankRuehl" w:hint="cs"/>
          <w:b/>
          <w:bCs/>
          <w:noProof w:val="0"/>
          <w:sz w:val="28"/>
          <w:szCs w:val="28"/>
          <w:u w:val="single"/>
          <w:rtl/>
        </w:rPr>
        <w:t>הראוי לקבוע שיתוף ספציפי</w:t>
      </w: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נפתח, אולי, שוב בפסק הדין המאלף </w:t>
      </w:r>
      <w:r w:rsidRPr="006130A3">
        <w:rPr>
          <w:rFonts w:ascii="FrankRuehl" w:hAnsi="FrankRuehl" w:cs="FrankRuehl" w:hint="cs"/>
          <w:noProof w:val="0"/>
          <w:sz w:val="28"/>
          <w:szCs w:val="28"/>
          <w:rtl/>
        </w:rPr>
        <w:t xml:space="preserve">(וראה: ע"א 6460/21 </w:t>
      </w:r>
      <w:r w:rsidRPr="006130A3">
        <w:rPr>
          <w:rFonts w:ascii="FrankRuehl" w:hAnsi="FrankRuehl" w:cs="FrankRuehl" w:hint="cs"/>
          <w:b/>
          <w:bCs/>
          <w:noProof w:val="0"/>
          <w:sz w:val="28"/>
          <w:szCs w:val="28"/>
          <w:rtl/>
        </w:rPr>
        <w:t>פרץ נ' כהן</w:t>
      </w:r>
      <w:r w:rsidRPr="006130A3">
        <w:rPr>
          <w:rFonts w:ascii="FrankRuehl" w:hAnsi="FrankRuehl" w:cs="FrankRuehl" w:hint="cs"/>
          <w:noProof w:val="0"/>
          <w:sz w:val="28"/>
          <w:szCs w:val="28"/>
          <w:rtl/>
        </w:rPr>
        <w:t xml:space="preserve"> {פמ"מ </w:t>
      </w:r>
      <w:r w:rsidRPr="006130A3">
        <w:rPr>
          <w:rFonts w:ascii="FrankRuehl" w:hAnsi="FrankRuehl" w:cs="FrankRuehl"/>
          <w:noProof w:val="0"/>
          <w:sz w:val="28"/>
          <w:szCs w:val="28"/>
          <w:rtl/>
        </w:rPr>
        <w:t>–</w:t>
      </w:r>
      <w:r w:rsidRPr="006130A3">
        <w:rPr>
          <w:rFonts w:ascii="FrankRuehl" w:hAnsi="FrankRuehl" w:cs="FrankRuehl" w:hint="cs"/>
          <w:noProof w:val="0"/>
          <w:sz w:val="28"/>
          <w:szCs w:val="28"/>
          <w:rtl/>
        </w:rPr>
        <w:t xml:space="preserve"> 18.06.2023}), </w:t>
      </w:r>
      <w:r>
        <w:rPr>
          <w:rFonts w:ascii="FrankRuehl" w:hAnsi="FrankRuehl" w:cs="FrankRuehl" w:hint="cs"/>
          <w:noProof w:val="0"/>
          <w:sz w:val="28"/>
          <w:szCs w:val="28"/>
          <w:rtl/>
        </w:rPr>
        <w:t xml:space="preserve">הקובע כי זה היוצר "ערפל ראייתי" (או בודה ראיות), לא ייאמן ולא יזכה לסעד. </w:t>
      </w:r>
    </w:p>
    <w:p w:rsidR="003D5153" w:rsidRDefault="003D5153" w:rsidP="003D5153">
      <w:pPr>
        <w:pStyle w:val="aa"/>
        <w:spacing w:line="360" w:lineRule="auto"/>
        <w:ind w:left="360"/>
        <w:jc w:val="both"/>
        <w:rPr>
          <w:rFonts w:ascii="FrankRuehl" w:hAnsi="FrankRuehl" w:cs="FrankRuehl"/>
          <w:noProof w:val="0"/>
          <w:sz w:val="28"/>
          <w:szCs w:val="28"/>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ברור שבחיי המנוחה לא ביקש התובע ממנה ראיה כלשהי בדבר שיתוף ספציפי, או אפילו רמז למנוחה שזו כוונתו. </w:t>
      </w:r>
    </w:p>
    <w:p w:rsidR="003D5153" w:rsidRPr="00E93AA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בעדותו טען התובע (עמוד 14) כי המנוחה והוא מעולם לא שוחחו על כך שהדירה תהא משותפת. במילים אחרות: על פני עשרות שנות נישואין, מעבר דירות, שיפוצים וכו' לא ניצל התובע שום הזדמנות לקבע "זכויותיו" בדירה נשוא התובענה. </w:t>
      </w:r>
    </w:p>
    <w:p w:rsidR="003D5153" w:rsidRPr="00E93AA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יסוד הדין הישראלי לעניין שיתוף נעוץ בהבנה (אשר מצאה ביטוי בחזקת השיתוף, ואחריה גם בחוק יחסי ממון), לפיה בין בני זוג מתקיים חוזה מכללא בדבר מאמץ משותף, גם אם לא שוויונית בצבירת נכסים, יהא רישומם כאשר יהא (וראה: ע"א 4306/12 </w:t>
      </w:r>
      <w:r w:rsidRPr="006339F7">
        <w:rPr>
          <w:rFonts w:ascii="FrankRuehl" w:hAnsi="FrankRuehl" w:cs="FrankRuehl" w:hint="cs"/>
          <w:b/>
          <w:bCs/>
          <w:noProof w:val="0"/>
          <w:sz w:val="28"/>
          <w:szCs w:val="28"/>
          <w:rtl/>
        </w:rPr>
        <w:t>פלונית נ' בנק לאומי לישראל</w:t>
      </w:r>
      <w:r>
        <w:rPr>
          <w:rFonts w:ascii="FrankRuehl" w:hAnsi="FrankRuehl" w:cs="FrankRuehl" w:hint="cs"/>
          <w:noProof w:val="0"/>
          <w:sz w:val="28"/>
          <w:szCs w:val="28"/>
          <w:rtl/>
        </w:rPr>
        <w:t xml:space="preserve"> {פמ"מ </w:t>
      </w:r>
      <w:r>
        <w:rPr>
          <w:rFonts w:ascii="FrankRuehl" w:hAnsi="FrankRuehl" w:cs="FrankRuehl"/>
          <w:noProof w:val="0"/>
          <w:sz w:val="28"/>
          <w:szCs w:val="28"/>
          <w:rtl/>
        </w:rPr>
        <w:t>–</w:t>
      </w:r>
      <w:r>
        <w:rPr>
          <w:rFonts w:ascii="FrankRuehl" w:hAnsi="FrankRuehl" w:cs="FrankRuehl" w:hint="cs"/>
          <w:noProof w:val="0"/>
          <w:sz w:val="28"/>
          <w:szCs w:val="28"/>
          <w:rtl/>
        </w:rPr>
        <w:t xml:space="preserve"> 15.07.2018}). </w:t>
      </w:r>
    </w:p>
    <w:p w:rsidR="003D5153" w:rsidRPr="00F21437"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מכאן גם סעיף </w:t>
      </w:r>
      <w:r w:rsidRPr="006339F7">
        <w:rPr>
          <w:rFonts w:ascii="FrankRuehl" w:hAnsi="FrankRuehl" w:cs="FrankRuehl" w:hint="cs"/>
          <w:b/>
          <w:bCs/>
          <w:noProof w:val="0"/>
          <w:sz w:val="28"/>
          <w:szCs w:val="28"/>
          <w:rtl/>
        </w:rPr>
        <w:t>5</w:t>
      </w:r>
      <w:r>
        <w:rPr>
          <w:rFonts w:ascii="FrankRuehl" w:hAnsi="FrankRuehl" w:cs="FrankRuehl" w:hint="cs"/>
          <w:noProof w:val="0"/>
          <w:sz w:val="28"/>
          <w:szCs w:val="28"/>
          <w:rtl/>
        </w:rPr>
        <w:t xml:space="preserve"> לחוק יחסי ממון בין בני זוג, תשל"ג </w:t>
      </w:r>
      <w:r>
        <w:rPr>
          <w:rFonts w:ascii="FrankRuehl" w:hAnsi="FrankRuehl" w:cs="FrankRuehl"/>
          <w:noProof w:val="0"/>
          <w:sz w:val="28"/>
          <w:szCs w:val="28"/>
          <w:rtl/>
        </w:rPr>
        <w:t>–</w:t>
      </w:r>
      <w:r>
        <w:rPr>
          <w:rFonts w:ascii="FrankRuehl" w:hAnsi="FrankRuehl" w:cs="FrankRuehl" w:hint="cs"/>
          <w:noProof w:val="0"/>
          <w:sz w:val="28"/>
          <w:szCs w:val="28"/>
          <w:rtl/>
        </w:rPr>
        <w:t xml:space="preserve"> 1973 (להלן: "</w:t>
      </w:r>
      <w:r w:rsidRPr="006339F7">
        <w:rPr>
          <w:rFonts w:ascii="FrankRuehl" w:hAnsi="FrankRuehl" w:cs="FrankRuehl" w:hint="cs"/>
          <w:b/>
          <w:bCs/>
          <w:noProof w:val="0"/>
          <w:sz w:val="28"/>
          <w:szCs w:val="28"/>
          <w:rtl/>
        </w:rPr>
        <w:t>חוק יחסי ממון</w:t>
      </w:r>
      <w:r>
        <w:rPr>
          <w:rFonts w:ascii="FrankRuehl" w:hAnsi="FrankRuehl" w:cs="FrankRuehl" w:hint="cs"/>
          <w:noProof w:val="0"/>
          <w:sz w:val="28"/>
          <w:szCs w:val="28"/>
          <w:rtl/>
        </w:rPr>
        <w:t xml:space="preserve">"), המוציא מכלל שיתוף נכס שאינו פרי מאמץ משותף. </w:t>
      </w:r>
    </w:p>
    <w:p w:rsidR="003D5153" w:rsidRPr="00F21437"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השקעה רבתי בנכס משותף יכול ותביא כמובן לחלוקה לא שוויונית, על-פי סעיף </w:t>
      </w:r>
      <w:r w:rsidRPr="006339F7">
        <w:rPr>
          <w:rFonts w:ascii="FrankRuehl" w:hAnsi="FrankRuehl" w:cs="FrankRuehl" w:hint="cs"/>
          <w:b/>
          <w:bCs/>
          <w:noProof w:val="0"/>
          <w:sz w:val="28"/>
          <w:szCs w:val="28"/>
          <w:rtl/>
        </w:rPr>
        <w:t>8(2)</w:t>
      </w:r>
      <w:r>
        <w:rPr>
          <w:rFonts w:ascii="FrankRuehl" w:hAnsi="FrankRuehl" w:cs="FrankRuehl" w:hint="cs"/>
          <w:noProof w:val="0"/>
          <w:sz w:val="28"/>
          <w:szCs w:val="28"/>
          <w:rtl/>
        </w:rPr>
        <w:t xml:space="preserve"> לחוק יחסי ממון (וראה: א. רוזן צבי, "</w:t>
      </w:r>
      <w:r w:rsidRPr="006339F7">
        <w:rPr>
          <w:rFonts w:ascii="FrankRuehl" w:hAnsi="FrankRuehl" w:cs="FrankRuehl" w:hint="cs"/>
          <w:b/>
          <w:bCs/>
          <w:noProof w:val="0"/>
          <w:sz w:val="28"/>
          <w:szCs w:val="28"/>
          <w:rtl/>
        </w:rPr>
        <w:t>יחסי ממון בין בני זוג</w:t>
      </w:r>
      <w:r>
        <w:rPr>
          <w:rFonts w:ascii="FrankRuehl" w:hAnsi="FrankRuehl" w:cs="FrankRuehl" w:hint="cs"/>
          <w:noProof w:val="0"/>
          <w:sz w:val="28"/>
          <w:szCs w:val="28"/>
          <w:rtl/>
        </w:rPr>
        <w:t xml:space="preserve">" {התשמ"ג}). </w:t>
      </w:r>
    </w:p>
    <w:p w:rsidR="003D5153" w:rsidRPr="0061124C"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lastRenderedPageBreak/>
        <w:t xml:space="preserve">כאמור, נושא השיתוף הספציפי בנכס חיצוני הוא בדיוק הקצה ההפוך של האמור לעיל, לאמור שותפות בנכס שלא רק רישומו טרם הנישואין אינו על שם שני הצדדים. מכאן נדרש שאותו "דבר מה" הנזכר בפסיקה ירמז על מאמץ רכישה משותף, אגב חיי הצדדים. </w:t>
      </w:r>
    </w:p>
    <w:p w:rsidR="003D5153" w:rsidRPr="0061124C"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שוב אזכיר, כי שיתוף ספציפי קשור בהגינות, ואין מדובר בדירת מגורי הצדדים, שהרי דירת מגורים דווקא אופיינית לאפשרות לקבוע שיתוף ספציפי. </w:t>
      </w:r>
    </w:p>
    <w:p w:rsidR="003D5153" w:rsidRPr="0061124C"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לצדדים דירה אחת משותפת, התובע זכה במגורים באחת מדירות המנוחה ובמנה מעיזבונה. </w:t>
      </w:r>
    </w:p>
    <w:p w:rsidR="003D5153" w:rsidRDefault="003D5153" w:rsidP="003D5153">
      <w:pPr>
        <w:pStyle w:val="aa"/>
        <w:spacing w:line="360" w:lineRule="auto"/>
        <w:ind w:left="360"/>
        <w:jc w:val="both"/>
        <w:rPr>
          <w:rFonts w:ascii="FrankRuehl" w:hAnsi="FrankRuehl" w:cs="FrankRuehl"/>
          <w:noProof w:val="0"/>
          <w:sz w:val="28"/>
          <w:szCs w:val="28"/>
        </w:rPr>
      </w:pPr>
      <w:r>
        <w:rPr>
          <w:rFonts w:ascii="FrankRuehl" w:hAnsi="FrankRuehl" w:cs="FrankRuehl" w:hint="cs"/>
          <w:noProof w:val="0"/>
          <w:sz w:val="28"/>
          <w:szCs w:val="28"/>
          <w:rtl/>
        </w:rPr>
        <w:t xml:space="preserve">אי הכרזה על שיתוף ספציפי לא יקפחנו כלכלית, מה גם שהוא עצמו אמיד הוא. </w:t>
      </w:r>
    </w:p>
    <w:p w:rsidR="003D5153" w:rsidRPr="0061124C"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מטיב צוואת המנוחה ניתן על נקלה ללמוד שהמנוחה הסתמכה על כך שהתובע יקבל את שציוותה לו וילדיה את השאר, ולא נמצאה שום ראיה לסבור כי המנוחה תחשוב שהתובע ינסה ליטול מחלק הילדים. </w:t>
      </w:r>
    </w:p>
    <w:p w:rsidR="003D5153" w:rsidRDefault="003D5153" w:rsidP="003D5153">
      <w:pPr>
        <w:pStyle w:val="aa"/>
        <w:spacing w:line="360" w:lineRule="auto"/>
        <w:ind w:left="360"/>
        <w:jc w:val="both"/>
        <w:rPr>
          <w:rFonts w:ascii="FrankRuehl" w:hAnsi="FrankRuehl" w:cs="FrankRuehl"/>
          <w:noProof w:val="0"/>
          <w:sz w:val="28"/>
          <w:szCs w:val="28"/>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מסקנה זו נתמכת בכמה </w:t>
      </w:r>
      <w:r>
        <w:rPr>
          <w:rFonts w:ascii="FrankRuehl" w:hAnsi="FrankRuehl" w:cs="FrankRuehl"/>
          <w:noProof w:val="0"/>
          <w:sz w:val="28"/>
          <w:szCs w:val="28"/>
          <w:rtl/>
        </w:rPr>
        <w:t>–</w:t>
      </w:r>
      <w:r>
        <w:rPr>
          <w:rFonts w:ascii="FrankRuehl" w:hAnsi="FrankRuehl" w:cs="FrankRuehl" w:hint="cs"/>
          <w:noProof w:val="0"/>
          <w:sz w:val="28"/>
          <w:szCs w:val="28"/>
          <w:rtl/>
        </w:rPr>
        <w:t xml:space="preserve"> למשל, בהצהרת המנוחה לרשויות המס, בה הודיעה שהדירה אינה משותפת; בכך שהדירה נרכשה מכספי הורי המנוחה; בכך שהתובע לא נזכר בהסכם השכירות שקדם לרכישת הדירה מהורי המנוחה; מצוואת אבי המנוחה ועוד. </w:t>
      </w:r>
    </w:p>
    <w:p w:rsidR="003D5153" w:rsidRPr="006C6773"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למעשה, התובע אינו עוסק בפועל בסוגיית ההגינות ומטעמים מובנים, כל עניינו של התובע בטענות ולפיהן קם לו אותו "דבר מה" חמקמק בשל השקעותיו הכספיות בשיפוץ הדירה ועובדת מגורי המשפחה בה בעבר. </w:t>
      </w:r>
    </w:p>
    <w:p w:rsidR="003D5153" w:rsidRPr="006C6773"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אומר, כי כאשר עוברת המשפחה דירה, כפי שאירע כאן, אין רואים עוד בדירה דירת מגורים. </w:t>
      </w:r>
    </w:p>
    <w:p w:rsidR="003D5153" w:rsidRPr="006C6773"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נשאל, האם הוכיח התובע השקעה משמעותית בדירה (והרי את דירתו השכיר). </w:t>
      </w:r>
    </w:p>
    <w:p w:rsidR="003D5153" w:rsidRPr="006C6773"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אגב </w:t>
      </w:r>
      <w:r w:rsidRPr="00873291">
        <w:rPr>
          <w:rFonts w:ascii="FrankRuehl" w:hAnsi="FrankRuehl" w:cs="FrankRuehl" w:hint="cs"/>
          <w:noProof w:val="0"/>
          <w:sz w:val="28"/>
          <w:szCs w:val="28"/>
          <w:rtl/>
        </w:rPr>
        <w:t xml:space="preserve">דנג"צ 8537/18 </w:t>
      </w:r>
      <w:r w:rsidRPr="00873291">
        <w:rPr>
          <w:rFonts w:ascii="FrankRuehl" w:hAnsi="FrankRuehl" w:cs="FrankRuehl" w:hint="cs"/>
          <w:b/>
          <w:bCs/>
          <w:noProof w:val="0"/>
          <w:sz w:val="28"/>
          <w:szCs w:val="28"/>
          <w:rtl/>
        </w:rPr>
        <w:t>פלונית נ' בית הדין הרבני הגדול בירושלים</w:t>
      </w:r>
      <w:r>
        <w:rPr>
          <w:rFonts w:ascii="FrankRuehl" w:hAnsi="FrankRuehl" w:cs="FrankRuehl" w:hint="cs"/>
          <w:noProof w:val="0"/>
          <w:sz w:val="28"/>
          <w:szCs w:val="28"/>
          <w:rtl/>
        </w:rPr>
        <w:t xml:space="preserve"> (פמ"מ </w:t>
      </w:r>
      <w:r>
        <w:rPr>
          <w:rFonts w:ascii="FrankRuehl" w:hAnsi="FrankRuehl" w:cs="FrankRuehl"/>
          <w:noProof w:val="0"/>
          <w:sz w:val="28"/>
          <w:szCs w:val="28"/>
          <w:rtl/>
        </w:rPr>
        <w:t>–</w:t>
      </w:r>
      <w:r>
        <w:rPr>
          <w:rFonts w:ascii="FrankRuehl" w:hAnsi="FrankRuehl" w:cs="FrankRuehl" w:hint="cs"/>
          <w:noProof w:val="0"/>
          <w:sz w:val="28"/>
          <w:szCs w:val="28"/>
          <w:rtl/>
        </w:rPr>
        <w:t xml:space="preserve"> 24.06.2021), </w:t>
      </w:r>
      <w:r w:rsidRPr="00873291">
        <w:rPr>
          <w:rFonts w:ascii="FrankRuehl" w:hAnsi="FrankRuehl" w:cs="FrankRuehl" w:hint="cs"/>
          <w:noProof w:val="0"/>
          <w:sz w:val="28"/>
          <w:szCs w:val="28"/>
          <w:rtl/>
        </w:rPr>
        <w:t>כבר</w:t>
      </w:r>
      <w:r>
        <w:rPr>
          <w:rFonts w:ascii="FrankRuehl" w:hAnsi="FrankRuehl" w:cs="FrankRuehl" w:hint="cs"/>
          <w:noProof w:val="0"/>
          <w:sz w:val="28"/>
          <w:szCs w:val="28"/>
          <w:rtl/>
        </w:rPr>
        <w:t xml:space="preserve"> נקבע, כי ההשקעה הכספית אינה העיקר להוכחת דבר מה נוסף. </w:t>
      </w:r>
    </w:p>
    <w:p w:rsidR="003D5153" w:rsidRPr="006C6773"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באותו פסק דין, אשר כונה "בג"צ הבוגדת", אמר בית המשפט העליון בין השאר כך: </w:t>
      </w:r>
    </w:p>
    <w:p w:rsidR="003D5153" w:rsidRDefault="003D5153" w:rsidP="003D5153">
      <w:pPr>
        <w:pStyle w:val="ruller400"/>
        <w:bidi/>
        <w:spacing w:before="0" w:beforeAutospacing="0" w:after="0" w:afterAutospacing="0" w:line="360" w:lineRule="atLeast"/>
        <w:ind w:left="1440"/>
        <w:jc w:val="both"/>
        <w:rPr>
          <w:rFonts w:ascii="FrankRuehl" w:hAnsi="FrankRuehl" w:cs="FrankRuehl"/>
          <w:b/>
          <w:bCs/>
          <w:i/>
          <w:iCs/>
          <w:color w:val="000000"/>
          <w:spacing w:val="10"/>
          <w:sz w:val="28"/>
          <w:szCs w:val="28"/>
          <w:rtl/>
        </w:rPr>
      </w:pPr>
      <w:r>
        <w:rPr>
          <w:rFonts w:ascii="Garamond" w:hAnsi="Garamond"/>
          <w:color w:val="000000"/>
          <w:spacing w:val="10"/>
          <w:sz w:val="27"/>
          <w:szCs w:val="27"/>
          <w:rtl/>
        </w:rPr>
        <w:lastRenderedPageBreak/>
        <w:br/>
      </w:r>
      <w:r w:rsidRPr="00182962">
        <w:rPr>
          <w:rFonts w:ascii="Garamond" w:hAnsi="Garamond" w:hint="cs"/>
          <w:b/>
          <w:bCs/>
          <w:i/>
          <w:iCs/>
          <w:color w:val="000000"/>
          <w:spacing w:val="10"/>
          <w:sz w:val="27"/>
          <w:szCs w:val="27"/>
          <w:rtl/>
        </w:rPr>
        <w:t>"</w:t>
      </w:r>
      <w:r w:rsidRPr="00182962">
        <w:rPr>
          <w:rFonts w:ascii="Garamond" w:hAnsi="Garamond"/>
          <w:b/>
          <w:bCs/>
          <w:i/>
          <w:iCs/>
          <w:color w:val="000000"/>
          <w:spacing w:val="10"/>
          <w:sz w:val="27"/>
          <w:szCs w:val="27"/>
          <w:rtl/>
        </w:rPr>
        <w:t>26.</w:t>
      </w:r>
      <w:r w:rsidRPr="00182962">
        <w:rPr>
          <w:b/>
          <w:bCs/>
          <w:i/>
          <w:iCs/>
          <w:color w:val="000000"/>
          <w:spacing w:val="10"/>
          <w:sz w:val="14"/>
          <w:szCs w:val="14"/>
          <w:rtl/>
        </w:rPr>
        <w:t>    </w:t>
      </w:r>
      <w:r w:rsidRPr="00182962">
        <w:rPr>
          <w:rFonts w:ascii="FrankRuehl" w:hAnsi="FrankRuehl" w:cs="FrankRuehl"/>
          <w:b/>
          <w:bCs/>
          <w:i/>
          <w:iCs/>
          <w:color w:val="000000"/>
          <w:spacing w:val="10"/>
          <w:sz w:val="28"/>
          <w:szCs w:val="28"/>
          <w:rtl/>
        </w:rPr>
        <w:t xml:space="preserve">הלכת השיתוף הספציפי התפתחה בפסיקה לאחר חקיקתו של חוק </w:t>
      </w:r>
    </w:p>
    <w:p w:rsidR="003D5153" w:rsidRPr="00182962" w:rsidRDefault="003D5153" w:rsidP="003D5153">
      <w:pPr>
        <w:pStyle w:val="ruller400"/>
        <w:bidi/>
        <w:spacing w:before="0" w:beforeAutospacing="0" w:after="0" w:afterAutospacing="0" w:line="360" w:lineRule="atLeast"/>
        <w:ind w:left="2160"/>
        <w:jc w:val="both"/>
        <w:rPr>
          <w:rFonts w:ascii="Garamond" w:hAnsi="Garamond"/>
          <w:b/>
          <w:bCs/>
          <w:i/>
          <w:iCs/>
          <w:color w:val="000000"/>
          <w:spacing w:val="10"/>
          <w:sz w:val="27"/>
          <w:szCs w:val="27"/>
        </w:rPr>
      </w:pPr>
      <w:r w:rsidRPr="00182962">
        <w:rPr>
          <w:rFonts w:ascii="FrankRuehl" w:hAnsi="FrankRuehl" w:cs="FrankRuehl"/>
          <w:b/>
          <w:bCs/>
          <w:i/>
          <w:iCs/>
          <w:color w:val="000000"/>
          <w:spacing w:val="10"/>
          <w:sz w:val="28"/>
          <w:szCs w:val="28"/>
          <w:rtl/>
        </w:rPr>
        <w:t>יחסי ממון, בו קבע המחוקק, בין היתר, כי:</w:t>
      </w:r>
    </w:p>
    <w:p w:rsidR="003D5153" w:rsidRPr="00182962" w:rsidRDefault="003D5153" w:rsidP="003D5153">
      <w:pPr>
        <w:pStyle w:val="ruller400"/>
        <w:bidi/>
        <w:spacing w:before="0" w:beforeAutospacing="0" w:after="0" w:afterAutospacing="0" w:line="360" w:lineRule="atLeast"/>
        <w:jc w:val="both"/>
        <w:rPr>
          <w:rFonts w:ascii="Garamond" w:hAnsi="Garamond"/>
          <w:b/>
          <w:bCs/>
          <w:i/>
          <w:iCs/>
          <w:color w:val="000000"/>
          <w:spacing w:val="10"/>
          <w:sz w:val="27"/>
          <w:szCs w:val="27"/>
          <w:rtl/>
        </w:rPr>
      </w:pPr>
      <w:r w:rsidRPr="00182962">
        <w:rPr>
          <w:rFonts w:ascii="FrankRuehl" w:hAnsi="FrankRuehl" w:cs="FrankRuehl"/>
          <w:b/>
          <w:bCs/>
          <w:i/>
          <w:iCs/>
          <w:color w:val="000000"/>
          <w:spacing w:val="10"/>
          <w:sz w:val="28"/>
          <w:szCs w:val="28"/>
          <w:rtl/>
        </w:rPr>
        <w:t> </w:t>
      </w:r>
    </w:p>
    <w:p w:rsidR="003D5153" w:rsidRPr="00182962" w:rsidRDefault="003D5153" w:rsidP="003D5153">
      <w:pPr>
        <w:pStyle w:val="ruller50"/>
        <w:bidi/>
        <w:spacing w:before="0" w:beforeAutospacing="0" w:after="0" w:afterAutospacing="0"/>
        <w:ind w:left="1642" w:right="1282" w:firstLine="518"/>
        <w:jc w:val="both"/>
        <w:rPr>
          <w:rFonts w:ascii="Arial TUR" w:hAnsi="Arial TUR" w:cs="Arial TUR"/>
          <w:b/>
          <w:bCs/>
          <w:i/>
          <w:iCs/>
          <w:color w:val="000000"/>
          <w:spacing w:val="10"/>
          <w:sz w:val="22"/>
          <w:szCs w:val="22"/>
          <w:rtl/>
        </w:rPr>
      </w:pPr>
      <w:r w:rsidRPr="00182962">
        <w:rPr>
          <w:rFonts w:ascii="Miriam" w:hAnsi="Miriam" w:cs="Miriam"/>
          <w:b/>
          <w:bCs/>
          <w:i/>
          <w:iCs/>
          <w:color w:val="000000"/>
          <w:rtl/>
        </w:rPr>
        <w:t>העדר תוצאות במשך הנישואין</w:t>
      </w:r>
    </w:p>
    <w:p w:rsidR="003D5153" w:rsidRPr="00182962" w:rsidRDefault="003D5153" w:rsidP="003D5153">
      <w:pPr>
        <w:pStyle w:val="ruller50"/>
        <w:bidi/>
        <w:spacing w:before="0" w:beforeAutospacing="0" w:after="0" w:afterAutospacing="0"/>
        <w:ind w:left="2160"/>
        <w:jc w:val="both"/>
        <w:rPr>
          <w:rFonts w:ascii="Arial TUR" w:hAnsi="Arial TUR" w:cs="Arial TUR"/>
          <w:b/>
          <w:bCs/>
          <w:i/>
          <w:iCs/>
          <w:color w:val="000000"/>
          <w:spacing w:val="10"/>
          <w:sz w:val="22"/>
          <w:szCs w:val="22"/>
          <w:rtl/>
        </w:rPr>
      </w:pPr>
      <w:r w:rsidRPr="00182962">
        <w:rPr>
          <w:rFonts w:ascii="FrankRuehl" w:hAnsi="FrankRuehl" w:cs="FrankRuehl"/>
          <w:b/>
          <w:bCs/>
          <w:i/>
          <w:iCs/>
          <w:color w:val="000000"/>
          <w:spacing w:val="10"/>
          <w:sz w:val="28"/>
          <w:szCs w:val="28"/>
          <w:rtl/>
        </w:rPr>
        <w:t>4. אין בכריתת הנישואין או בקיומם כשלעצמם כדי לפגוע בקנינים של בני הזוג, להקנות לאחד מהם זכויות בנכסי השני או להטיל עליו אחריות לחובות השני.</w:t>
      </w:r>
      <w:r w:rsidRPr="00182962">
        <w:rPr>
          <w:rFonts w:ascii="Arial TUR" w:hAnsi="Arial TUR" w:cs="Arial TUR" w:hint="cs"/>
          <w:b/>
          <w:bCs/>
          <w:i/>
          <w:iCs/>
          <w:color w:val="000000"/>
          <w:spacing w:val="10"/>
          <w:sz w:val="22"/>
          <w:szCs w:val="22"/>
          <w:rtl/>
        </w:rPr>
        <w:t>"</w:t>
      </w:r>
    </w:p>
    <w:p w:rsidR="003D5153" w:rsidRDefault="003D5153" w:rsidP="003D5153">
      <w:pPr>
        <w:pStyle w:val="ruller50"/>
        <w:bidi/>
        <w:spacing w:before="0" w:beforeAutospacing="0" w:after="0" w:afterAutospacing="0"/>
        <w:ind w:left="1642" w:right="1282"/>
        <w:jc w:val="both"/>
        <w:rPr>
          <w:rFonts w:ascii="Arial TUR" w:hAnsi="Arial TUR" w:cs="Arial TUR"/>
          <w:color w:val="000000"/>
          <w:spacing w:val="10"/>
          <w:sz w:val="22"/>
          <w:szCs w:val="22"/>
          <w:rtl/>
        </w:rPr>
      </w:pPr>
      <w:r>
        <w:rPr>
          <w:rFonts w:ascii="FrankRuehl" w:hAnsi="FrankRuehl" w:cs="FrankRuehl"/>
          <w:color w:val="000000"/>
          <w:spacing w:val="10"/>
          <w:sz w:val="28"/>
          <w:szCs w:val="28"/>
          <w:rtl/>
        </w:rPr>
        <w:t> </w:t>
      </w:r>
    </w:p>
    <w:p w:rsidR="003D5153" w:rsidRDefault="003D5153" w:rsidP="003D5153">
      <w:pPr>
        <w:pStyle w:val="ruller50"/>
        <w:bidi/>
        <w:spacing w:before="0" w:beforeAutospacing="0" w:after="0" w:afterAutospacing="0"/>
        <w:ind w:left="1642" w:right="1282"/>
        <w:jc w:val="both"/>
        <w:rPr>
          <w:rFonts w:ascii="Arial TUR" w:hAnsi="Arial TUR" w:cs="Arial TUR"/>
          <w:color w:val="000000"/>
          <w:spacing w:val="10"/>
          <w:sz w:val="22"/>
          <w:szCs w:val="22"/>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בהמשך לקבוע </w:t>
      </w:r>
      <w:r w:rsidRPr="00873291">
        <w:rPr>
          <w:rFonts w:ascii="FrankRuehl" w:hAnsi="FrankRuehl" w:cs="FrankRuehl" w:hint="cs"/>
          <w:noProof w:val="0"/>
          <w:sz w:val="28"/>
          <w:szCs w:val="28"/>
          <w:rtl/>
        </w:rPr>
        <w:t>בע"א 1915/91</w:t>
      </w:r>
      <w:r>
        <w:rPr>
          <w:rFonts w:ascii="FrankRuehl" w:hAnsi="FrankRuehl" w:cs="FrankRuehl" w:hint="cs"/>
          <w:noProof w:val="0"/>
          <w:sz w:val="28"/>
          <w:szCs w:val="28"/>
          <w:rtl/>
        </w:rPr>
        <w:t xml:space="preserve">, הלכה המכונה בפינו "יעקובי וקנובלר", המשיך בית המשפט העליון בדנג"צ "הבוגדת" ואמר כך: </w:t>
      </w:r>
    </w:p>
    <w:p w:rsidR="003D5153" w:rsidRPr="00AA1101" w:rsidRDefault="003D5153" w:rsidP="003D5153">
      <w:pPr>
        <w:pStyle w:val="aa"/>
        <w:spacing w:line="360" w:lineRule="auto"/>
        <w:ind w:left="360"/>
        <w:jc w:val="both"/>
        <w:rPr>
          <w:rFonts w:ascii="FrankRuehl" w:hAnsi="FrankRuehl" w:cs="FrankRuehl"/>
          <w:noProof w:val="0"/>
          <w:sz w:val="16"/>
          <w:szCs w:val="16"/>
          <w:rtl/>
        </w:rPr>
      </w:pPr>
    </w:p>
    <w:p w:rsidR="003D5153" w:rsidRPr="00A31996" w:rsidRDefault="003D5153" w:rsidP="003D5153">
      <w:pPr>
        <w:spacing w:line="360" w:lineRule="atLeast"/>
        <w:ind w:left="1440"/>
        <w:jc w:val="both"/>
        <w:rPr>
          <w:rFonts w:ascii="Garamond" w:hAnsi="Garamond" w:cs="Times New Roman"/>
          <w:b/>
          <w:bCs/>
          <w:i/>
          <w:iCs/>
          <w:noProof w:val="0"/>
          <w:color w:val="000000"/>
          <w:spacing w:val="10"/>
          <w:sz w:val="27"/>
          <w:szCs w:val="27"/>
        </w:rPr>
      </w:pPr>
      <w:r>
        <w:rPr>
          <w:rFonts w:ascii="FrankRuehl" w:hAnsi="FrankRuehl" w:cs="FrankRuehl" w:hint="cs"/>
          <w:b/>
          <w:bCs/>
          <w:i/>
          <w:iCs/>
          <w:noProof w:val="0"/>
          <w:color w:val="000000"/>
          <w:spacing w:val="10"/>
          <w:sz w:val="28"/>
          <w:szCs w:val="28"/>
          <w:rtl/>
        </w:rPr>
        <w:t>"</w:t>
      </w:r>
      <w:r w:rsidRPr="00A31996">
        <w:rPr>
          <w:rFonts w:ascii="FrankRuehl" w:hAnsi="FrankRuehl" w:cs="FrankRuehl"/>
          <w:b/>
          <w:bCs/>
          <w:i/>
          <w:iCs/>
          <w:noProof w:val="0"/>
          <w:color w:val="000000"/>
          <w:spacing w:val="10"/>
          <w:sz w:val="28"/>
          <w:szCs w:val="28"/>
          <w:rtl/>
        </w:rPr>
        <w:t>באותו עניין סברה השופטת </w:t>
      </w:r>
      <w:r w:rsidRPr="00A31996">
        <w:rPr>
          <w:rFonts w:ascii="Miriam" w:hAnsi="Miriam" w:cs="Miriam"/>
          <w:b/>
          <w:bCs/>
          <w:i/>
          <w:iCs/>
          <w:noProof w:val="0"/>
          <w:color w:val="000000"/>
          <w:sz w:val="27"/>
          <w:szCs w:val="27"/>
          <w:rtl/>
        </w:rPr>
        <w:t>ט' שטרסברג-כהן</w:t>
      </w:r>
      <w:r w:rsidRPr="00A31996">
        <w:rPr>
          <w:rFonts w:ascii="FrankRuehl" w:hAnsi="FrankRuehl" w:cs="FrankRuehl"/>
          <w:b/>
          <w:bCs/>
          <w:i/>
          <w:iCs/>
          <w:noProof w:val="0"/>
          <w:color w:val="000000"/>
          <w:spacing w:val="10"/>
          <w:sz w:val="28"/>
          <w:szCs w:val="28"/>
          <w:rtl/>
        </w:rPr>
        <w:t>, בדעת יחיד, כי על נכסים חיצוניים יש להחיל את הוראות "הדין הכללי", אשר יותאם להקשר הזוגי שבו הוא חל:</w:t>
      </w:r>
    </w:p>
    <w:p w:rsidR="003D5153" w:rsidRPr="00A31996" w:rsidRDefault="003D5153" w:rsidP="003D5153">
      <w:pPr>
        <w:jc w:val="both"/>
        <w:rPr>
          <w:rFonts w:cs="Times New Roman"/>
          <w:b/>
          <w:bCs/>
          <w:i/>
          <w:iCs/>
          <w:noProof w:val="0"/>
          <w:color w:val="000000"/>
          <w:sz w:val="20"/>
          <w:szCs w:val="20"/>
          <w:rtl/>
        </w:rPr>
      </w:pPr>
      <w:r w:rsidRPr="00A31996">
        <w:rPr>
          <w:rFonts w:ascii="David" w:hAnsi="David"/>
          <w:b/>
          <w:bCs/>
          <w:i/>
          <w:iCs/>
          <w:noProof w:val="0"/>
          <w:color w:val="000000"/>
          <w:rtl/>
        </w:rPr>
        <w:t> </w:t>
      </w:r>
    </w:p>
    <w:p w:rsidR="003D5153" w:rsidRPr="00A31996" w:rsidRDefault="003D5153" w:rsidP="003D5153">
      <w:pPr>
        <w:tabs>
          <w:tab w:val="left" w:pos="8505"/>
        </w:tabs>
        <w:ind w:left="2880"/>
        <w:jc w:val="both"/>
        <w:rPr>
          <w:rFonts w:cs="Times New Roman"/>
          <w:b/>
          <w:bCs/>
          <w:i/>
          <w:iCs/>
          <w:noProof w:val="0"/>
          <w:color w:val="000000"/>
          <w:sz w:val="20"/>
          <w:szCs w:val="20"/>
          <w:rtl/>
        </w:rPr>
      </w:pPr>
      <w:r w:rsidRPr="00A31996">
        <w:rPr>
          <w:rFonts w:ascii="FrankRuehl" w:hAnsi="FrankRuehl" w:cs="FrankRuehl"/>
          <w:b/>
          <w:bCs/>
          <w:i/>
          <w:iCs/>
          <w:noProof w:val="0"/>
          <w:color w:val="000000"/>
          <w:spacing w:val="10"/>
          <w:sz w:val="28"/>
          <w:szCs w:val="28"/>
          <w:rtl/>
        </w:rPr>
        <w:t>"[...] אם קיים רכוש שנרשם על שם אחד אלא שהרישום איננו משקף אל נכון את הבעלות האמיתית בו, או שקיים רכוש בלתי רשום שלא ניתן לזהות של מי הוא, יש לקבוע את הבעלות לאשורה לפי הדין הכללי, שיפורש בגמישות ובהתאמה למסגרת השיתוף שבה חיים השניים שהרכוש  נצבר על-ידיהם. [...] על-מנת לקבוע את זכויות כל אחד מבני הזוג ברכוש במהלך חיי הנישואין, ניתן לפנות לדיני החוזים, לדיני הקניין, לדיני הנאמנות, לדיני השליחות, לדיני עשיית עושר ולא במשפט, לעקרון תום הלב ולכל אותם כלים הנתונים בידינו, כדי לקבוע בעלות</w:t>
      </w:r>
      <w:r w:rsidRPr="00A31996">
        <w:rPr>
          <w:rFonts w:ascii="Miriam" w:hAnsi="Miriam" w:cs="Miriam"/>
          <w:b/>
          <w:bCs/>
          <w:i/>
          <w:iCs/>
          <w:noProof w:val="0"/>
          <w:color w:val="000000"/>
          <w:spacing w:val="10"/>
          <w:rtl/>
        </w:rPr>
        <w:t> אמיתית</w:t>
      </w:r>
      <w:r w:rsidRPr="00A31996">
        <w:rPr>
          <w:rFonts w:ascii="FrankRuehl" w:hAnsi="FrankRuehl" w:cs="FrankRuehl"/>
          <w:b/>
          <w:bCs/>
          <w:i/>
          <w:iCs/>
          <w:noProof w:val="0"/>
          <w:color w:val="000000"/>
          <w:spacing w:val="10"/>
          <w:rtl/>
        </w:rPr>
        <w:t> </w:t>
      </w:r>
      <w:r w:rsidRPr="00A31996">
        <w:rPr>
          <w:rFonts w:ascii="FrankRuehl" w:hAnsi="FrankRuehl" w:cs="FrankRuehl"/>
          <w:b/>
          <w:bCs/>
          <w:i/>
          <w:iCs/>
          <w:noProof w:val="0"/>
          <w:color w:val="000000"/>
          <w:spacing w:val="10"/>
          <w:sz w:val="28"/>
          <w:szCs w:val="28"/>
          <w:rtl/>
        </w:rPr>
        <w:t>ולא פורמאלית ברכוש" (</w:t>
      </w:r>
      <w:r w:rsidRPr="00A31996">
        <w:rPr>
          <w:rFonts w:ascii="Miriam" w:hAnsi="Miriam" w:cs="Miriam"/>
          <w:b/>
          <w:bCs/>
          <w:i/>
          <w:iCs/>
          <w:noProof w:val="0"/>
          <w:color w:val="000000"/>
          <w:spacing w:val="10"/>
          <w:rtl/>
        </w:rPr>
        <w:t>שם</w:t>
      </w:r>
      <w:r w:rsidRPr="00A31996">
        <w:rPr>
          <w:rFonts w:ascii="FrankRuehl" w:hAnsi="FrankRuehl" w:cs="FrankRuehl"/>
          <w:b/>
          <w:bCs/>
          <w:i/>
          <w:iCs/>
          <w:noProof w:val="0"/>
          <w:color w:val="000000"/>
          <w:spacing w:val="10"/>
          <w:sz w:val="28"/>
          <w:szCs w:val="28"/>
          <w:rtl/>
        </w:rPr>
        <w:t>, בעמ' 621; ההדגשה במקור).</w:t>
      </w:r>
    </w:p>
    <w:p w:rsidR="003D5153" w:rsidRPr="00A31996" w:rsidRDefault="003D5153" w:rsidP="003D5153">
      <w:pPr>
        <w:spacing w:line="360" w:lineRule="atLeast"/>
        <w:jc w:val="both"/>
        <w:rPr>
          <w:rFonts w:ascii="Garamond" w:hAnsi="Garamond" w:cs="Times New Roman"/>
          <w:b/>
          <w:bCs/>
          <w:i/>
          <w:iCs/>
          <w:noProof w:val="0"/>
          <w:color w:val="000000"/>
          <w:spacing w:val="10"/>
          <w:sz w:val="27"/>
          <w:szCs w:val="27"/>
          <w:rtl/>
        </w:rPr>
      </w:pPr>
      <w:r w:rsidRPr="00A31996">
        <w:rPr>
          <w:rFonts w:ascii="Garamond" w:hAnsi="Garamond" w:cs="Times New Roman"/>
          <w:b/>
          <w:bCs/>
          <w:i/>
          <w:iCs/>
          <w:noProof w:val="0"/>
          <w:color w:val="000000"/>
          <w:spacing w:val="10"/>
          <w:sz w:val="27"/>
          <w:szCs w:val="27"/>
        </w:rPr>
        <w:t> </w:t>
      </w:r>
    </w:p>
    <w:p w:rsidR="003D5153" w:rsidRPr="00A31996" w:rsidRDefault="003D5153" w:rsidP="003D5153">
      <w:pPr>
        <w:spacing w:line="360" w:lineRule="atLeast"/>
        <w:ind w:left="1440"/>
        <w:jc w:val="both"/>
        <w:rPr>
          <w:rFonts w:ascii="Garamond" w:hAnsi="Garamond" w:cs="Times New Roman"/>
          <w:b/>
          <w:bCs/>
          <w:i/>
          <w:iCs/>
          <w:noProof w:val="0"/>
          <w:color w:val="000000"/>
          <w:spacing w:val="10"/>
          <w:sz w:val="27"/>
          <w:szCs w:val="27"/>
          <w:rtl/>
        </w:rPr>
      </w:pPr>
      <w:r w:rsidRPr="00A31996">
        <w:rPr>
          <w:rFonts w:ascii="Garamond" w:hAnsi="Garamond" w:cs="Times New Roman"/>
          <w:b/>
          <w:bCs/>
          <w:i/>
          <w:iCs/>
          <w:noProof w:val="0"/>
          <w:color w:val="000000"/>
          <w:spacing w:val="10"/>
          <w:sz w:val="27"/>
          <w:szCs w:val="27"/>
          <w:rtl/>
        </w:rPr>
        <w:t>29.</w:t>
      </w:r>
      <w:r w:rsidRPr="00A31996">
        <w:rPr>
          <w:rFonts w:cs="Times New Roman"/>
          <w:b/>
          <w:bCs/>
          <w:i/>
          <w:iCs/>
          <w:noProof w:val="0"/>
          <w:color w:val="000000"/>
          <w:spacing w:val="10"/>
          <w:sz w:val="14"/>
          <w:szCs w:val="14"/>
          <w:rtl/>
        </w:rPr>
        <w:t>         </w:t>
      </w:r>
      <w:r w:rsidRPr="00A31996">
        <w:rPr>
          <w:rFonts w:ascii="FrankRuehl" w:hAnsi="FrankRuehl" w:cs="FrankRuehl"/>
          <w:b/>
          <w:bCs/>
          <w:i/>
          <w:iCs/>
          <w:noProof w:val="0"/>
          <w:color w:val="000000"/>
          <w:spacing w:val="10"/>
          <w:sz w:val="28"/>
          <w:szCs w:val="28"/>
          <w:rtl/>
        </w:rPr>
        <w:t>גישה זו אומצה בשלב מאוחר יותר כדעת הרוב בע"א 8672/00 </w:t>
      </w:r>
      <w:r w:rsidRPr="00A31996">
        <w:rPr>
          <w:rFonts w:ascii="Miriam" w:hAnsi="Miriam" w:cs="Miriam"/>
          <w:b/>
          <w:bCs/>
          <w:i/>
          <w:iCs/>
          <w:noProof w:val="0"/>
          <w:color w:val="000000"/>
          <w:sz w:val="27"/>
          <w:szCs w:val="27"/>
          <w:rtl/>
        </w:rPr>
        <w:t>אבו-רומי נ' אבו-רומי</w:t>
      </w:r>
      <w:r w:rsidRPr="00A31996">
        <w:rPr>
          <w:rFonts w:ascii="FrankRuehl" w:hAnsi="FrankRuehl" w:cs="FrankRuehl"/>
          <w:b/>
          <w:bCs/>
          <w:i/>
          <w:iCs/>
          <w:noProof w:val="0"/>
          <w:color w:val="000000"/>
          <w:spacing w:val="10"/>
          <w:sz w:val="28"/>
          <w:szCs w:val="28"/>
          <w:rtl/>
        </w:rPr>
        <w:t>, פ"ד נו(6) 175 (2002) (להלן: </w:t>
      </w:r>
      <w:r w:rsidRPr="00A31996">
        <w:rPr>
          <w:rFonts w:ascii="Miriam" w:hAnsi="Miriam" w:cs="Miriam"/>
          <w:b/>
          <w:bCs/>
          <w:i/>
          <w:iCs/>
          <w:noProof w:val="0"/>
          <w:color w:val="000000"/>
          <w:sz w:val="27"/>
          <w:szCs w:val="27"/>
          <w:rtl/>
        </w:rPr>
        <w:t>עניין אבו-רומי</w:t>
      </w:r>
      <w:r w:rsidRPr="00A31996">
        <w:rPr>
          <w:rFonts w:ascii="FrankRuehl" w:hAnsi="FrankRuehl" w:cs="FrankRuehl"/>
          <w:b/>
          <w:bCs/>
          <w:i/>
          <w:iCs/>
          <w:noProof w:val="0"/>
          <w:color w:val="000000"/>
          <w:spacing w:val="10"/>
          <w:sz w:val="28"/>
          <w:szCs w:val="28"/>
          <w:rtl/>
        </w:rPr>
        <w:t>), והפכה למה שמכונה על ידינו כיום "הלכת השיתוף הספציפי" (לתיאור יישומה של הלכה זו ופרשנותה בפסקי הדין שבאו אחריה (ראו </w:t>
      </w:r>
      <w:r w:rsidRPr="00A31996">
        <w:rPr>
          <w:rFonts w:ascii="Miriam" w:hAnsi="Miriam" w:cs="Miriam"/>
          <w:b/>
          <w:bCs/>
          <w:i/>
          <w:iCs/>
          <w:noProof w:val="0"/>
          <w:color w:val="000000"/>
          <w:sz w:val="27"/>
          <w:szCs w:val="27"/>
          <w:rtl/>
        </w:rPr>
        <w:t>ליפשיץ, השיתוף הזוגי</w:t>
      </w:r>
      <w:r w:rsidRPr="00A31996">
        <w:rPr>
          <w:rFonts w:ascii="FrankRuehl" w:hAnsi="FrankRuehl" w:cs="FrankRuehl"/>
          <w:b/>
          <w:bCs/>
          <w:i/>
          <w:iCs/>
          <w:noProof w:val="0"/>
          <w:color w:val="000000"/>
          <w:spacing w:val="10"/>
          <w:sz w:val="28"/>
          <w:szCs w:val="28"/>
          <w:rtl/>
        </w:rPr>
        <w:t>, בעמ' 181-175). עיקרה של הלכה זו, כפי שפורטה בעניין </w:t>
      </w:r>
      <w:r w:rsidRPr="00A31996">
        <w:rPr>
          <w:rFonts w:ascii="Miriam" w:hAnsi="Miriam" w:cs="Miriam"/>
          <w:b/>
          <w:bCs/>
          <w:i/>
          <w:iCs/>
          <w:noProof w:val="0"/>
          <w:color w:val="000000"/>
          <w:sz w:val="27"/>
          <w:szCs w:val="27"/>
          <w:rtl/>
        </w:rPr>
        <w:t>אבו-רומי</w:t>
      </w:r>
      <w:r w:rsidRPr="00A31996">
        <w:rPr>
          <w:rFonts w:ascii="FrankRuehl" w:hAnsi="FrankRuehl" w:cs="FrankRuehl"/>
          <w:b/>
          <w:bCs/>
          <w:i/>
          <w:iCs/>
          <w:noProof w:val="0"/>
          <w:color w:val="000000"/>
          <w:spacing w:val="10"/>
          <w:sz w:val="28"/>
          <w:szCs w:val="28"/>
          <w:rtl/>
        </w:rPr>
        <w:t>, הוא כי:</w:t>
      </w:r>
    </w:p>
    <w:p w:rsidR="003D5153" w:rsidRPr="00A31996" w:rsidRDefault="003D5153" w:rsidP="003D5153">
      <w:pPr>
        <w:spacing w:line="330" w:lineRule="atLeast"/>
        <w:jc w:val="both"/>
        <w:rPr>
          <w:rFonts w:ascii="Arial TUR" w:hAnsi="Arial TUR" w:cs="Arial TUR"/>
          <w:b/>
          <w:bCs/>
          <w:i/>
          <w:iCs/>
          <w:noProof w:val="0"/>
          <w:color w:val="000000"/>
          <w:spacing w:val="10"/>
          <w:sz w:val="22"/>
          <w:szCs w:val="22"/>
          <w:rtl/>
        </w:rPr>
      </w:pPr>
      <w:r w:rsidRPr="00A31996">
        <w:rPr>
          <w:rFonts w:ascii="FrankRuehl" w:hAnsi="FrankRuehl" w:cs="FrankRuehl"/>
          <w:b/>
          <w:bCs/>
          <w:i/>
          <w:iCs/>
          <w:noProof w:val="0"/>
          <w:color w:val="000000"/>
          <w:spacing w:val="10"/>
          <w:sz w:val="28"/>
          <w:szCs w:val="28"/>
          <w:rtl/>
        </w:rPr>
        <w:t> </w:t>
      </w:r>
    </w:p>
    <w:p w:rsidR="003D5153" w:rsidRPr="00A31996" w:rsidRDefault="003D5153" w:rsidP="003D5153">
      <w:pPr>
        <w:ind w:left="2880"/>
        <w:jc w:val="both"/>
        <w:rPr>
          <w:rFonts w:ascii="Arial TUR" w:hAnsi="Arial TUR" w:cs="Arial TUR"/>
          <w:b/>
          <w:bCs/>
          <w:i/>
          <w:iCs/>
          <w:noProof w:val="0"/>
          <w:color w:val="000000"/>
          <w:spacing w:val="10"/>
          <w:sz w:val="22"/>
          <w:szCs w:val="22"/>
          <w:rtl/>
        </w:rPr>
      </w:pPr>
      <w:r w:rsidRPr="00A31996">
        <w:rPr>
          <w:rFonts w:ascii="FrankRuehl" w:hAnsi="FrankRuehl" w:cs="FrankRuehl"/>
          <w:b/>
          <w:bCs/>
          <w:i/>
          <w:iCs/>
          <w:noProof w:val="0"/>
          <w:color w:val="000000"/>
          <w:spacing w:val="10"/>
          <w:sz w:val="28"/>
          <w:szCs w:val="28"/>
          <w:rtl/>
        </w:rPr>
        <w:lastRenderedPageBreak/>
        <w:t>"מכוח סעיף 4 לחוק יחסי ממון, הדין החל על בני-הזוג במהלך חיי הנישואין באשר לזכויותיהם ברכוש הוא הדין הכללי. מכאן, שלכאורה, במסגרת סעיף 4 אין מניעה שבן-זוג יטען מכוח דין כללי כלשהו כי בידיו זכויות בדירת מגורים הרשומה על שם בן-הזוג האחר ושהייתה בבעלותו ערב הנישואין. [...] בהקשר של קביעת הבעלות על רכוש בני-הזוג ראוי ליתן פרשנות רחבה לדין הכללי – דיני החוזים, דיני הקניין, דיני הנאמנות, דיני השליחות, דיני עשיית עושר, עקרון תום-הלב ועוד – באופן התואם את התא המשפחתי שבו מצוי המאגר הרכושי של בני-הזוג" (עניין </w:t>
      </w:r>
      <w:r w:rsidRPr="00A31996">
        <w:rPr>
          <w:rFonts w:ascii="Miriam" w:hAnsi="Miriam" w:cs="Miriam"/>
          <w:b/>
          <w:bCs/>
          <w:i/>
          <w:iCs/>
          <w:noProof w:val="0"/>
          <w:color w:val="000000"/>
          <w:spacing w:val="10"/>
          <w:rtl/>
        </w:rPr>
        <w:t>אבו-רומי</w:t>
      </w:r>
      <w:r w:rsidRPr="00A31996">
        <w:rPr>
          <w:rFonts w:ascii="FrankRuehl" w:hAnsi="FrankRuehl" w:cs="FrankRuehl"/>
          <w:b/>
          <w:bCs/>
          <w:i/>
          <w:iCs/>
          <w:noProof w:val="0"/>
          <w:color w:val="000000"/>
          <w:spacing w:val="10"/>
          <w:sz w:val="28"/>
          <w:szCs w:val="28"/>
          <w:rtl/>
        </w:rPr>
        <w:t>, בעמ' 183).</w:t>
      </w:r>
    </w:p>
    <w:p w:rsidR="003D5153" w:rsidRPr="00A31996" w:rsidRDefault="003D5153" w:rsidP="003D5153">
      <w:pPr>
        <w:jc w:val="both"/>
        <w:rPr>
          <w:rFonts w:cs="Times New Roman"/>
          <w:b/>
          <w:bCs/>
          <w:i/>
          <w:iCs/>
          <w:noProof w:val="0"/>
          <w:color w:val="000000"/>
          <w:sz w:val="20"/>
          <w:szCs w:val="20"/>
          <w:rtl/>
        </w:rPr>
      </w:pPr>
      <w:r w:rsidRPr="00A31996">
        <w:rPr>
          <w:rFonts w:ascii="David" w:hAnsi="David"/>
          <w:b/>
          <w:bCs/>
          <w:i/>
          <w:iCs/>
          <w:noProof w:val="0"/>
          <w:color w:val="000000"/>
          <w:rtl/>
        </w:rPr>
        <w:t> </w:t>
      </w:r>
    </w:p>
    <w:p w:rsidR="003D5153" w:rsidRPr="00A31996" w:rsidRDefault="003D5153" w:rsidP="003D5153">
      <w:pPr>
        <w:jc w:val="both"/>
        <w:rPr>
          <w:rFonts w:cs="Times New Roman"/>
          <w:b/>
          <w:bCs/>
          <w:i/>
          <w:iCs/>
          <w:noProof w:val="0"/>
          <w:color w:val="000000"/>
          <w:sz w:val="20"/>
          <w:szCs w:val="20"/>
          <w:rtl/>
        </w:rPr>
      </w:pPr>
      <w:r w:rsidRPr="00A31996">
        <w:rPr>
          <w:rFonts w:ascii="David" w:hAnsi="David"/>
          <w:b/>
          <w:bCs/>
          <w:i/>
          <w:iCs/>
          <w:noProof w:val="0"/>
          <w:color w:val="000000"/>
          <w:rtl/>
        </w:rPr>
        <w:t> </w:t>
      </w:r>
    </w:p>
    <w:p w:rsidR="003D5153" w:rsidRPr="00A31996" w:rsidRDefault="003D5153" w:rsidP="003D5153">
      <w:pPr>
        <w:spacing w:line="360" w:lineRule="atLeast"/>
        <w:ind w:left="1500"/>
        <w:jc w:val="both"/>
        <w:rPr>
          <w:rFonts w:ascii="Garamond" w:hAnsi="Garamond" w:cs="Times New Roman"/>
          <w:b/>
          <w:bCs/>
          <w:i/>
          <w:iCs/>
          <w:noProof w:val="0"/>
          <w:color w:val="000000"/>
          <w:spacing w:val="10"/>
          <w:sz w:val="27"/>
          <w:szCs w:val="27"/>
          <w:rtl/>
        </w:rPr>
      </w:pPr>
      <w:r w:rsidRPr="00A31996">
        <w:rPr>
          <w:rFonts w:ascii="FrankRuehl" w:hAnsi="FrankRuehl" w:cs="FrankRuehl"/>
          <w:b/>
          <w:bCs/>
          <w:i/>
          <w:iCs/>
          <w:noProof w:val="0"/>
          <w:color w:val="000000"/>
          <w:spacing w:val="10"/>
          <w:sz w:val="28"/>
          <w:szCs w:val="28"/>
          <w:rtl/>
        </w:rPr>
        <w:t>במילים אחרות, תכליתה של הלכת השיתוף הספציפי צנועה בהרבה מזו של חזקת השיתוף: היא לא נועדה לשמש "כלל-על" של דיני המשפחה אשר חולש על נכסי בני הזוג. היא כלי משפטי המאפשר הכרה בקיומו של שיתוף בנכס ספציפי, וזאת מכוח הדין הכללי. השיתוף שנוצר מכוחה מבטא סוגי שיתוף שמוכרים בדין הכללי, על ענפיו השונים, "תוך התייחסות למערכת היחסים המיוחדת של השותפות הנובעת מחיי הנישואין, כשם שבמישורי משפט אחרים מגמשת את עצמה הפרשנות המשפטית לסיטואציות המיוחדות שבהן מיושם הדין הרלוואנטי" (עניין </w:t>
      </w:r>
      <w:r w:rsidRPr="00A31996">
        <w:rPr>
          <w:rFonts w:ascii="Miriam" w:hAnsi="Miriam" w:cs="Miriam"/>
          <w:b/>
          <w:bCs/>
          <w:i/>
          <w:iCs/>
          <w:noProof w:val="0"/>
          <w:color w:val="000000"/>
          <w:sz w:val="27"/>
          <w:szCs w:val="27"/>
          <w:rtl/>
        </w:rPr>
        <w:t>יעקובי וקנובלר</w:t>
      </w:r>
      <w:r w:rsidRPr="00A31996">
        <w:rPr>
          <w:rFonts w:ascii="FrankRuehl" w:hAnsi="FrankRuehl" w:cs="FrankRuehl"/>
          <w:b/>
          <w:bCs/>
          <w:i/>
          <w:iCs/>
          <w:noProof w:val="0"/>
          <w:color w:val="000000"/>
          <w:spacing w:val="10"/>
          <w:sz w:val="28"/>
          <w:szCs w:val="28"/>
          <w:rtl/>
        </w:rPr>
        <w:t>, בעמ' 621).</w:t>
      </w:r>
    </w:p>
    <w:p w:rsidR="003D5153" w:rsidRPr="00A31996" w:rsidRDefault="003D5153" w:rsidP="003D5153">
      <w:pPr>
        <w:spacing w:line="360" w:lineRule="atLeast"/>
        <w:jc w:val="both"/>
        <w:rPr>
          <w:rFonts w:ascii="Garamond" w:hAnsi="Garamond" w:cs="Times New Roman"/>
          <w:b/>
          <w:bCs/>
          <w:i/>
          <w:iCs/>
          <w:noProof w:val="0"/>
          <w:color w:val="000000"/>
          <w:spacing w:val="10"/>
          <w:sz w:val="27"/>
          <w:szCs w:val="27"/>
          <w:rtl/>
        </w:rPr>
      </w:pPr>
      <w:r w:rsidRPr="00A31996">
        <w:rPr>
          <w:rFonts w:ascii="FrankRuehl" w:hAnsi="FrankRuehl" w:cs="FrankRuehl"/>
          <w:b/>
          <w:bCs/>
          <w:i/>
          <w:iCs/>
          <w:noProof w:val="0"/>
          <w:color w:val="000000"/>
          <w:spacing w:val="10"/>
          <w:sz w:val="28"/>
          <w:szCs w:val="28"/>
          <w:rtl/>
        </w:rPr>
        <w:t> </w:t>
      </w:r>
    </w:p>
    <w:p w:rsidR="003D5153" w:rsidRPr="00A31996" w:rsidRDefault="003D5153" w:rsidP="003D5153">
      <w:pPr>
        <w:spacing w:line="360" w:lineRule="atLeast"/>
        <w:ind w:left="1440"/>
        <w:jc w:val="both"/>
        <w:rPr>
          <w:rFonts w:ascii="Garamond" w:hAnsi="Garamond" w:cs="Times New Roman"/>
          <w:b/>
          <w:bCs/>
          <w:i/>
          <w:iCs/>
          <w:noProof w:val="0"/>
          <w:color w:val="000000"/>
          <w:spacing w:val="10"/>
          <w:sz w:val="27"/>
          <w:szCs w:val="27"/>
          <w:rtl/>
        </w:rPr>
      </w:pPr>
      <w:r w:rsidRPr="00A31996">
        <w:rPr>
          <w:rFonts w:ascii="Garamond" w:hAnsi="Garamond" w:cs="Times New Roman"/>
          <w:b/>
          <w:bCs/>
          <w:i/>
          <w:iCs/>
          <w:noProof w:val="0"/>
          <w:color w:val="000000"/>
          <w:spacing w:val="10"/>
          <w:sz w:val="27"/>
          <w:szCs w:val="27"/>
          <w:rtl/>
        </w:rPr>
        <w:t>30.</w:t>
      </w:r>
      <w:r w:rsidRPr="00A31996">
        <w:rPr>
          <w:rFonts w:cs="Times New Roman"/>
          <w:b/>
          <w:bCs/>
          <w:i/>
          <w:iCs/>
          <w:noProof w:val="0"/>
          <w:color w:val="000000"/>
          <w:spacing w:val="10"/>
          <w:sz w:val="14"/>
          <w:szCs w:val="14"/>
          <w:rtl/>
        </w:rPr>
        <w:t>         </w:t>
      </w:r>
      <w:r w:rsidRPr="00A31996">
        <w:rPr>
          <w:rFonts w:ascii="FrankRuehl" w:hAnsi="FrankRuehl" w:cs="FrankRuehl"/>
          <w:b/>
          <w:bCs/>
          <w:i/>
          <w:iCs/>
          <w:noProof w:val="0"/>
          <w:color w:val="000000"/>
          <w:spacing w:val="10"/>
          <w:sz w:val="28"/>
          <w:szCs w:val="28"/>
          <w:rtl/>
        </w:rPr>
        <w:t>בעניין </w:t>
      </w:r>
      <w:r w:rsidRPr="00A31996">
        <w:rPr>
          <w:rFonts w:ascii="Miriam" w:hAnsi="Miriam" w:cs="Miriam"/>
          <w:b/>
          <w:bCs/>
          <w:i/>
          <w:iCs/>
          <w:noProof w:val="0"/>
          <w:color w:val="000000"/>
          <w:sz w:val="27"/>
          <w:szCs w:val="27"/>
          <w:rtl/>
        </w:rPr>
        <w:t>אבו-רומי</w:t>
      </w:r>
      <w:r w:rsidRPr="00A31996">
        <w:rPr>
          <w:rFonts w:ascii="FrankRuehl" w:hAnsi="FrankRuehl" w:cs="FrankRuehl"/>
          <w:b/>
          <w:bCs/>
          <w:i/>
          <w:iCs/>
          <w:noProof w:val="0"/>
          <w:color w:val="000000"/>
          <w:spacing w:val="10"/>
          <w:sz w:val="28"/>
          <w:szCs w:val="28"/>
          <w:rtl/>
        </w:rPr>
        <w:t> הודגש, עם זאת, כי לא כל מערכת זוגית כוללת </w:t>
      </w:r>
      <w:r w:rsidRPr="00A31996">
        <w:rPr>
          <w:rFonts w:ascii="Miriam" w:hAnsi="Miriam" w:cs="Miriam"/>
          <w:b/>
          <w:bCs/>
          <w:i/>
          <w:iCs/>
          <w:noProof w:val="0"/>
          <w:color w:val="000000"/>
          <w:sz w:val="27"/>
          <w:szCs w:val="27"/>
          <w:rtl/>
        </w:rPr>
        <w:t>בהכרח</w:t>
      </w:r>
      <w:r w:rsidRPr="00A31996">
        <w:rPr>
          <w:rFonts w:ascii="FrankRuehl" w:hAnsi="FrankRuehl" w:cs="FrankRuehl"/>
          <w:b/>
          <w:bCs/>
          <w:i/>
          <w:iCs/>
          <w:noProof w:val="0"/>
          <w:color w:val="000000"/>
          <w:spacing w:val="10"/>
          <w:sz w:val="28"/>
          <w:szCs w:val="28"/>
          <w:rtl/>
        </w:rPr>
        <w:t> שיתוף בנכסים חיצוניים. וכדברי השופטת </w:t>
      </w:r>
      <w:r w:rsidRPr="00A31996">
        <w:rPr>
          <w:rFonts w:ascii="Miriam" w:hAnsi="Miriam" w:cs="Miriam"/>
          <w:b/>
          <w:bCs/>
          <w:i/>
          <w:iCs/>
          <w:noProof w:val="0"/>
          <w:color w:val="000000"/>
          <w:sz w:val="27"/>
          <w:szCs w:val="27"/>
          <w:rtl/>
        </w:rPr>
        <w:t>שטרסברג-כהן</w:t>
      </w:r>
      <w:r w:rsidRPr="00A31996">
        <w:rPr>
          <w:rFonts w:ascii="FrankRuehl" w:hAnsi="FrankRuehl" w:cs="FrankRuehl"/>
          <w:b/>
          <w:bCs/>
          <w:i/>
          <w:iCs/>
          <w:noProof w:val="0"/>
          <w:color w:val="000000"/>
          <w:spacing w:val="10"/>
          <w:sz w:val="28"/>
          <w:szCs w:val="28"/>
          <w:rtl/>
        </w:rPr>
        <w:t>:</w:t>
      </w:r>
    </w:p>
    <w:p w:rsidR="003D5153" w:rsidRPr="00A31996" w:rsidRDefault="003D5153" w:rsidP="003D5153">
      <w:pPr>
        <w:spacing w:line="360" w:lineRule="atLeast"/>
        <w:jc w:val="both"/>
        <w:rPr>
          <w:rFonts w:ascii="Garamond" w:hAnsi="Garamond" w:cs="Times New Roman"/>
          <w:b/>
          <w:bCs/>
          <w:i/>
          <w:iCs/>
          <w:noProof w:val="0"/>
          <w:color w:val="000000"/>
          <w:spacing w:val="10"/>
          <w:sz w:val="27"/>
          <w:szCs w:val="27"/>
          <w:rtl/>
        </w:rPr>
      </w:pPr>
      <w:r w:rsidRPr="00A31996">
        <w:rPr>
          <w:rFonts w:ascii="FrankRuehl" w:hAnsi="FrankRuehl" w:cs="FrankRuehl"/>
          <w:b/>
          <w:bCs/>
          <w:i/>
          <w:iCs/>
          <w:noProof w:val="0"/>
          <w:color w:val="000000"/>
          <w:spacing w:val="10"/>
          <w:sz w:val="28"/>
          <w:szCs w:val="28"/>
          <w:rtl/>
        </w:rPr>
        <w:t> </w:t>
      </w:r>
    </w:p>
    <w:p w:rsidR="003D5153" w:rsidRPr="00A31996" w:rsidRDefault="003D5153" w:rsidP="003D5153">
      <w:pPr>
        <w:ind w:left="2880"/>
        <w:jc w:val="both"/>
        <w:rPr>
          <w:rFonts w:ascii="Arial TUR" w:hAnsi="Arial TUR" w:cs="Arial TUR"/>
          <w:b/>
          <w:bCs/>
          <w:i/>
          <w:iCs/>
          <w:noProof w:val="0"/>
          <w:color w:val="000000"/>
          <w:spacing w:val="10"/>
          <w:sz w:val="22"/>
          <w:szCs w:val="22"/>
          <w:rtl/>
        </w:rPr>
      </w:pPr>
      <w:r w:rsidRPr="00A31996">
        <w:rPr>
          <w:rFonts w:ascii="FrankRuehl" w:hAnsi="FrankRuehl" w:cs="FrankRuehl"/>
          <w:b/>
          <w:bCs/>
          <w:i/>
          <w:iCs/>
          <w:noProof w:val="0"/>
          <w:color w:val="000000"/>
          <w:spacing w:val="10"/>
          <w:sz w:val="28"/>
          <w:szCs w:val="28"/>
          <w:rtl/>
        </w:rPr>
        <w:t>"לא די בעצם קיומם של חיי נישואין משותפים, אף שהיו ממושכים, כדי לקבוע שיתוף בדירת מגורים מכוח דין כללי, שאם תאמר כן, נמצאתָ מכניס בדלת אחורית את חזקת השיתוף, שלשיטתי איננה חלה במקביל לחוק יחסי ממון. סעיף 4 לחוק יחסי ממון קובע מפורשות, כי 'אין </w:t>
      </w:r>
      <w:r w:rsidRPr="00A31996">
        <w:rPr>
          <w:rFonts w:ascii="Miriam" w:hAnsi="Miriam" w:cs="Miriam"/>
          <w:b/>
          <w:bCs/>
          <w:i/>
          <w:iCs/>
          <w:noProof w:val="0"/>
          <w:color w:val="000000"/>
          <w:spacing w:val="10"/>
          <w:rtl/>
        </w:rPr>
        <w:t>בכריתת</w:t>
      </w:r>
      <w:r w:rsidRPr="00A31996">
        <w:rPr>
          <w:rFonts w:ascii="FrankRuehl" w:hAnsi="FrankRuehl" w:cs="FrankRuehl"/>
          <w:b/>
          <w:bCs/>
          <w:i/>
          <w:iCs/>
          <w:noProof w:val="0"/>
          <w:color w:val="000000"/>
          <w:spacing w:val="10"/>
          <w:sz w:val="28"/>
          <w:szCs w:val="28"/>
          <w:rtl/>
        </w:rPr>
        <w:t> הנישואין או </w:t>
      </w:r>
      <w:r w:rsidRPr="00A31996">
        <w:rPr>
          <w:rFonts w:ascii="Miriam" w:hAnsi="Miriam" w:cs="Miriam"/>
          <w:b/>
          <w:bCs/>
          <w:i/>
          <w:iCs/>
          <w:noProof w:val="0"/>
          <w:color w:val="000000"/>
          <w:spacing w:val="10"/>
          <w:rtl/>
        </w:rPr>
        <w:t>בקיומם</w:t>
      </w:r>
      <w:r w:rsidRPr="00A31996">
        <w:rPr>
          <w:rFonts w:ascii="FrankRuehl" w:hAnsi="FrankRuehl" w:cs="FrankRuehl"/>
          <w:b/>
          <w:bCs/>
          <w:i/>
          <w:iCs/>
          <w:noProof w:val="0"/>
          <w:color w:val="000000"/>
          <w:spacing w:val="10"/>
          <w:sz w:val="28"/>
          <w:szCs w:val="28"/>
          <w:rtl/>
        </w:rPr>
        <w:t> כשלעצמם כדי לפגוע בקנינים של בני הזוג, להקנות לאחד מהם זכויות בנכסי השני או להטיל עליו אחריות לחובות השני' (ההדגשות שלי - ט.ש.כ.). על מנת שתוקננה זכויות בדירת מגורים הרשומה על שם בן הזוג האחד לבן הזוג השני, על האחרון להראות נסיבות עובדתיות בנוסף לעצם קיום הנישואין מהן ניתן להסיק - מכוח הדין הכללי - הקניית זכויות בדירת המגורים" (</w:t>
      </w:r>
      <w:r w:rsidRPr="00A31996">
        <w:rPr>
          <w:rFonts w:ascii="Miriam" w:hAnsi="Miriam" w:cs="Miriam"/>
          <w:b/>
          <w:bCs/>
          <w:i/>
          <w:iCs/>
          <w:noProof w:val="0"/>
          <w:color w:val="000000"/>
          <w:rtl/>
        </w:rPr>
        <w:t>שם</w:t>
      </w:r>
      <w:r w:rsidRPr="00A31996">
        <w:rPr>
          <w:rFonts w:ascii="FrankRuehl" w:hAnsi="FrankRuehl" w:cs="FrankRuehl"/>
          <w:b/>
          <w:bCs/>
          <w:i/>
          <w:iCs/>
          <w:noProof w:val="0"/>
          <w:color w:val="000000"/>
          <w:spacing w:val="10"/>
          <w:sz w:val="28"/>
          <w:szCs w:val="28"/>
          <w:rtl/>
        </w:rPr>
        <w:t>, בעמ' 183; ההדגשות במקור).</w:t>
      </w:r>
    </w:p>
    <w:p w:rsidR="003D5153" w:rsidRPr="00A31996" w:rsidRDefault="003D5153" w:rsidP="003D5153">
      <w:pPr>
        <w:spacing w:line="330" w:lineRule="atLeast"/>
        <w:jc w:val="both"/>
        <w:rPr>
          <w:rFonts w:ascii="Arial TUR" w:hAnsi="Arial TUR" w:cs="Arial TUR"/>
          <w:b/>
          <w:bCs/>
          <w:i/>
          <w:iCs/>
          <w:noProof w:val="0"/>
          <w:color w:val="000000"/>
          <w:spacing w:val="10"/>
          <w:sz w:val="22"/>
          <w:szCs w:val="22"/>
          <w:rtl/>
        </w:rPr>
      </w:pPr>
      <w:r w:rsidRPr="00A31996">
        <w:rPr>
          <w:rFonts w:ascii="Arial TUR" w:hAnsi="Arial TUR" w:cs="Arial TUR"/>
          <w:b/>
          <w:bCs/>
          <w:i/>
          <w:iCs/>
          <w:noProof w:val="0"/>
          <w:color w:val="000000"/>
          <w:spacing w:val="10"/>
          <w:sz w:val="22"/>
          <w:szCs w:val="22"/>
        </w:rPr>
        <w:lastRenderedPageBreak/>
        <w:t> </w:t>
      </w:r>
    </w:p>
    <w:p w:rsidR="003D5153" w:rsidRPr="00A31996" w:rsidRDefault="003D5153" w:rsidP="003D5153">
      <w:pPr>
        <w:spacing w:line="360" w:lineRule="atLeast"/>
        <w:ind w:left="2160"/>
        <w:jc w:val="both"/>
        <w:rPr>
          <w:rFonts w:ascii="Garamond" w:hAnsi="Garamond" w:cs="Times New Roman"/>
          <w:b/>
          <w:bCs/>
          <w:i/>
          <w:iCs/>
          <w:noProof w:val="0"/>
          <w:color w:val="000000"/>
          <w:spacing w:val="10"/>
          <w:sz w:val="27"/>
          <w:szCs w:val="27"/>
          <w:rtl/>
        </w:rPr>
      </w:pPr>
      <w:r w:rsidRPr="00A31996">
        <w:rPr>
          <w:rFonts w:ascii="FrankRuehl" w:hAnsi="FrankRuehl" w:cs="FrankRuehl"/>
          <w:b/>
          <w:bCs/>
          <w:i/>
          <w:iCs/>
          <w:noProof w:val="0"/>
          <w:color w:val="000000"/>
          <w:spacing w:val="10"/>
          <w:sz w:val="28"/>
          <w:szCs w:val="28"/>
          <w:rtl/>
        </w:rPr>
        <w:t>בהתאם לכך, הוכר בפסיקה תנאי לתחולת הלכת השיתוף הספציפי, אשר זכה לכינוי "דבר מה נוסף". דרישה זו נותנת ביטוי להבנה כי בחירתם של בני הזוג לשזור את נתיבי חייהם בדרך של נישואין אין משמעה כי הם התכוונו בהכרח לשתף את </w:t>
      </w:r>
      <w:r w:rsidRPr="00A31996">
        <w:rPr>
          <w:rFonts w:ascii="Miriam" w:hAnsi="Miriam" w:cs="Miriam"/>
          <w:b/>
          <w:bCs/>
          <w:i/>
          <w:iCs/>
          <w:noProof w:val="0"/>
          <w:color w:val="000000"/>
          <w:spacing w:val="10"/>
          <w:sz w:val="27"/>
          <w:szCs w:val="27"/>
          <w:rtl/>
        </w:rPr>
        <w:t>כל</w:t>
      </w:r>
      <w:r w:rsidRPr="00A31996">
        <w:rPr>
          <w:rFonts w:ascii="FrankRuehl" w:hAnsi="FrankRuehl" w:cs="FrankRuehl"/>
          <w:b/>
          <w:bCs/>
          <w:i/>
          <w:iCs/>
          <w:noProof w:val="0"/>
          <w:color w:val="000000"/>
          <w:spacing w:val="10"/>
          <w:sz w:val="28"/>
          <w:szCs w:val="28"/>
          <w:rtl/>
        </w:rPr>
        <w:t> נכסיהם זו עם זה. לשם ההכרה בשיתוף בין בני זוג בנכס חיצוני יש, אפוא, להראות כי מתקיימות נסיבות מסוימות ("דבר מה נוסף") מעבר לעצם קיומם של חיי הנישואין.</w:t>
      </w:r>
    </w:p>
    <w:p w:rsidR="003D5153" w:rsidRDefault="003D5153" w:rsidP="003D5153">
      <w:pPr>
        <w:spacing w:line="360" w:lineRule="atLeast"/>
        <w:jc w:val="both"/>
        <w:rPr>
          <w:rFonts w:ascii="Garamond" w:hAnsi="Garamond" w:cs="Times New Roman"/>
          <w:b/>
          <w:bCs/>
          <w:i/>
          <w:iCs/>
          <w:noProof w:val="0"/>
          <w:color w:val="000000"/>
          <w:spacing w:val="10"/>
          <w:sz w:val="27"/>
          <w:szCs w:val="27"/>
          <w:rtl/>
        </w:rPr>
      </w:pPr>
      <w:r w:rsidRPr="00A31996">
        <w:rPr>
          <w:rFonts w:ascii="FrankRuehl" w:hAnsi="FrankRuehl" w:cs="FrankRuehl"/>
          <w:b/>
          <w:bCs/>
          <w:i/>
          <w:iCs/>
          <w:noProof w:val="0"/>
          <w:color w:val="000000"/>
          <w:spacing w:val="10"/>
          <w:sz w:val="28"/>
          <w:szCs w:val="28"/>
          <w:rtl/>
        </w:rPr>
        <w:t> </w:t>
      </w:r>
    </w:p>
    <w:p w:rsidR="003D5153" w:rsidRPr="00A31996" w:rsidRDefault="003D5153" w:rsidP="003D5153">
      <w:pPr>
        <w:spacing w:line="360" w:lineRule="atLeast"/>
        <w:jc w:val="both"/>
        <w:rPr>
          <w:rFonts w:ascii="Garamond" w:hAnsi="Garamond" w:cs="Times New Roman"/>
          <w:b/>
          <w:bCs/>
          <w:i/>
          <w:iCs/>
          <w:noProof w:val="0"/>
          <w:color w:val="000000"/>
          <w:spacing w:val="10"/>
          <w:sz w:val="27"/>
          <w:szCs w:val="27"/>
          <w:rtl/>
        </w:rPr>
      </w:pPr>
    </w:p>
    <w:p w:rsidR="003D5153" w:rsidRDefault="003D5153" w:rsidP="003D5153">
      <w:pPr>
        <w:spacing w:line="360" w:lineRule="atLeast"/>
        <w:ind w:left="1440"/>
        <w:jc w:val="both"/>
        <w:rPr>
          <w:rFonts w:ascii="Garamond" w:hAnsi="Garamond" w:cs="Times New Roman"/>
          <w:b/>
          <w:bCs/>
          <w:i/>
          <w:iCs/>
          <w:noProof w:val="0"/>
          <w:color w:val="000000"/>
          <w:spacing w:val="10"/>
          <w:sz w:val="27"/>
          <w:szCs w:val="27"/>
          <w:rtl/>
        </w:rPr>
      </w:pPr>
      <w:r w:rsidRPr="00A31996">
        <w:rPr>
          <w:rFonts w:ascii="Garamond" w:hAnsi="Garamond" w:cs="Times New Roman"/>
          <w:b/>
          <w:bCs/>
          <w:i/>
          <w:iCs/>
          <w:noProof w:val="0"/>
          <w:color w:val="000000"/>
          <w:spacing w:val="10"/>
          <w:sz w:val="27"/>
          <w:szCs w:val="27"/>
          <w:rtl/>
        </w:rPr>
        <w:t>31.</w:t>
      </w:r>
      <w:r w:rsidRPr="00A31996">
        <w:rPr>
          <w:rFonts w:cs="Times New Roman"/>
          <w:b/>
          <w:bCs/>
          <w:i/>
          <w:iCs/>
          <w:noProof w:val="0"/>
          <w:color w:val="000000"/>
          <w:spacing w:val="10"/>
          <w:sz w:val="14"/>
          <w:szCs w:val="14"/>
          <w:rtl/>
        </w:rPr>
        <w:t>         </w:t>
      </w:r>
      <w:r w:rsidRPr="00A31996">
        <w:rPr>
          <w:rFonts w:ascii="FrankRuehl" w:hAnsi="FrankRuehl" w:cs="FrankRuehl"/>
          <w:b/>
          <w:bCs/>
          <w:i/>
          <w:iCs/>
          <w:noProof w:val="0"/>
          <w:color w:val="000000"/>
          <w:spacing w:val="10"/>
          <w:sz w:val="28"/>
          <w:szCs w:val="28"/>
          <w:rtl/>
        </w:rPr>
        <w:t>באשר למהות הדרישה ל"דבר מה נוסף", בפסיקה הובהר כי מדובר במבחן עובדתי שתלוי בנסיבות המקרה (בע"מ 4545/09 </w:t>
      </w:r>
      <w:r w:rsidRPr="00A31996">
        <w:rPr>
          <w:rFonts w:ascii="Miriam" w:hAnsi="Miriam" w:cs="Miriam"/>
          <w:b/>
          <w:bCs/>
          <w:i/>
          <w:iCs/>
          <w:noProof w:val="0"/>
          <w:color w:val="000000"/>
          <w:sz w:val="27"/>
          <w:szCs w:val="27"/>
          <w:rtl/>
        </w:rPr>
        <w:t>פלוני נ' פלונית</w:t>
      </w:r>
      <w:r w:rsidRPr="00A31996">
        <w:rPr>
          <w:rFonts w:ascii="FrankRuehl" w:hAnsi="FrankRuehl" w:cs="FrankRuehl"/>
          <w:b/>
          <w:bCs/>
          <w:i/>
          <w:iCs/>
          <w:noProof w:val="0"/>
          <w:color w:val="000000"/>
          <w:spacing w:val="10"/>
          <w:sz w:val="28"/>
          <w:szCs w:val="28"/>
          <w:rtl/>
        </w:rPr>
        <w:t>, פסקה 6 (7.1.2010);  (בג"ץ 287/16 </w:t>
      </w:r>
      <w:r w:rsidRPr="00A31996">
        <w:rPr>
          <w:rFonts w:ascii="Miriam" w:hAnsi="Miriam" w:cs="Miriam"/>
          <w:b/>
          <w:bCs/>
          <w:i/>
          <w:iCs/>
          <w:noProof w:val="0"/>
          <w:color w:val="000000"/>
          <w:sz w:val="27"/>
          <w:szCs w:val="27"/>
          <w:rtl/>
        </w:rPr>
        <w:t>פלוני נ' בית הדין הרבני הגדול בירושלים</w:t>
      </w:r>
      <w:r w:rsidRPr="00A31996">
        <w:rPr>
          <w:rFonts w:ascii="FrankRuehl" w:hAnsi="FrankRuehl" w:cs="FrankRuehl"/>
          <w:b/>
          <w:bCs/>
          <w:i/>
          <w:iCs/>
          <w:noProof w:val="0"/>
          <w:color w:val="000000"/>
          <w:spacing w:val="10"/>
          <w:sz w:val="28"/>
          <w:szCs w:val="28"/>
          <w:rtl/>
        </w:rPr>
        <w:t>, פסקה 14 (‏27.3.2016) (להלן: </w:t>
      </w:r>
      <w:r w:rsidRPr="00A31996">
        <w:rPr>
          <w:rFonts w:ascii="Miriam" w:hAnsi="Miriam" w:cs="Miriam"/>
          <w:b/>
          <w:bCs/>
          <w:i/>
          <w:iCs/>
          <w:noProof w:val="0"/>
          <w:color w:val="000000"/>
          <w:sz w:val="27"/>
          <w:szCs w:val="27"/>
          <w:rtl/>
        </w:rPr>
        <w:t>בג"ץ 287/16</w:t>
      </w:r>
      <w:r w:rsidRPr="00A31996">
        <w:rPr>
          <w:rFonts w:ascii="FrankRuehl" w:hAnsi="FrankRuehl" w:cs="FrankRuehl"/>
          <w:b/>
          <w:bCs/>
          <w:i/>
          <w:iCs/>
          <w:noProof w:val="0"/>
          <w:color w:val="000000"/>
          <w:spacing w:val="10"/>
          <w:sz w:val="28"/>
          <w:szCs w:val="28"/>
          <w:rtl/>
        </w:rPr>
        <w:t>)). לאורך השנים הועלו בפסיקה נסיבות עובדתיות שונות שנקבע כי יש לשקול בעת יציקת תוכן לדרישת ה"דבר מה הנוסף" (ראו, בין היתר: ע"א 7750/10 </w:t>
      </w:r>
      <w:r w:rsidRPr="00A31996">
        <w:rPr>
          <w:rFonts w:ascii="Miriam" w:hAnsi="Miriam" w:cs="Miriam"/>
          <w:b/>
          <w:bCs/>
          <w:i/>
          <w:iCs/>
          <w:noProof w:val="0"/>
          <w:color w:val="000000"/>
          <w:sz w:val="27"/>
          <w:szCs w:val="27"/>
          <w:rtl/>
        </w:rPr>
        <w:t>בן גיאת נ' הכשרת היישוב ביטוח בע"מ</w:t>
      </w:r>
      <w:r w:rsidRPr="00A31996">
        <w:rPr>
          <w:rFonts w:ascii="FrankRuehl" w:hAnsi="FrankRuehl" w:cs="FrankRuehl"/>
          <w:b/>
          <w:bCs/>
          <w:i/>
          <w:iCs/>
          <w:noProof w:val="0"/>
          <w:color w:val="000000"/>
          <w:spacing w:val="10"/>
          <w:sz w:val="28"/>
          <w:szCs w:val="28"/>
          <w:rtl/>
        </w:rPr>
        <w:t>, פסקה 13 לחוות דעתו של השופט </w:t>
      </w:r>
      <w:r w:rsidRPr="00A31996">
        <w:rPr>
          <w:rFonts w:ascii="Miriam" w:hAnsi="Miriam" w:cs="Miriam"/>
          <w:b/>
          <w:bCs/>
          <w:i/>
          <w:iCs/>
          <w:noProof w:val="0"/>
          <w:color w:val="000000"/>
          <w:sz w:val="27"/>
          <w:szCs w:val="27"/>
          <w:rtl/>
        </w:rPr>
        <w:t>עמית</w:t>
      </w:r>
      <w:r w:rsidRPr="00A31996">
        <w:rPr>
          <w:rFonts w:ascii="FrankRuehl" w:hAnsi="FrankRuehl" w:cs="FrankRuehl"/>
          <w:b/>
          <w:bCs/>
          <w:i/>
          <w:iCs/>
          <w:noProof w:val="0"/>
          <w:color w:val="000000"/>
          <w:spacing w:val="10"/>
          <w:sz w:val="28"/>
          <w:szCs w:val="28"/>
          <w:rtl/>
        </w:rPr>
        <w:t> (11.8.2011) (להלן: </w:t>
      </w:r>
      <w:r w:rsidRPr="00A31996">
        <w:rPr>
          <w:rFonts w:ascii="Miriam" w:hAnsi="Miriam" w:cs="Miriam"/>
          <w:b/>
          <w:bCs/>
          <w:i/>
          <w:iCs/>
          <w:noProof w:val="0"/>
          <w:color w:val="000000"/>
          <w:sz w:val="27"/>
          <w:szCs w:val="27"/>
          <w:rtl/>
        </w:rPr>
        <w:t>עניין בן גיאת</w:t>
      </w:r>
      <w:r w:rsidRPr="00A31996">
        <w:rPr>
          <w:rFonts w:ascii="FrankRuehl" w:hAnsi="FrankRuehl" w:cs="FrankRuehl"/>
          <w:b/>
          <w:bCs/>
          <w:i/>
          <w:iCs/>
          <w:noProof w:val="0"/>
          <w:color w:val="000000"/>
          <w:spacing w:val="10"/>
          <w:sz w:val="28"/>
          <w:szCs w:val="28"/>
          <w:rtl/>
        </w:rPr>
        <w:t>); בע"מ 1398/11 </w:t>
      </w:r>
      <w:r w:rsidRPr="00A31996">
        <w:rPr>
          <w:rFonts w:ascii="Miriam" w:hAnsi="Miriam" w:cs="Miriam"/>
          <w:b/>
          <w:bCs/>
          <w:i/>
          <w:iCs/>
          <w:noProof w:val="0"/>
          <w:color w:val="000000"/>
          <w:sz w:val="27"/>
          <w:szCs w:val="27"/>
          <w:rtl/>
        </w:rPr>
        <w:t>אלמונית נ' אלמוני</w:t>
      </w:r>
      <w:r w:rsidRPr="00A31996">
        <w:rPr>
          <w:rFonts w:ascii="FrankRuehl" w:hAnsi="FrankRuehl" w:cs="FrankRuehl"/>
          <w:b/>
          <w:bCs/>
          <w:i/>
          <w:iCs/>
          <w:noProof w:val="0"/>
          <w:color w:val="000000"/>
          <w:spacing w:val="10"/>
          <w:sz w:val="28"/>
          <w:szCs w:val="28"/>
          <w:rtl/>
        </w:rPr>
        <w:t>, פסקאות 21-17 לחוות דעתו של השופט </w:t>
      </w:r>
      <w:r w:rsidRPr="00A31996">
        <w:rPr>
          <w:rFonts w:ascii="Miriam" w:hAnsi="Miriam" w:cs="Miriam"/>
          <w:b/>
          <w:bCs/>
          <w:i/>
          <w:iCs/>
          <w:noProof w:val="0"/>
          <w:color w:val="000000"/>
          <w:sz w:val="27"/>
          <w:szCs w:val="27"/>
          <w:rtl/>
        </w:rPr>
        <w:t>י' דנציגר</w:t>
      </w:r>
      <w:r w:rsidRPr="00A31996">
        <w:rPr>
          <w:rFonts w:ascii="FrankRuehl" w:hAnsi="FrankRuehl" w:cs="FrankRuehl"/>
          <w:b/>
          <w:bCs/>
          <w:i/>
          <w:iCs/>
          <w:noProof w:val="0"/>
          <w:color w:val="000000"/>
          <w:spacing w:val="10"/>
          <w:sz w:val="28"/>
          <w:szCs w:val="28"/>
          <w:rtl/>
        </w:rPr>
        <w:t> (26.12.2012) (להלן: </w:t>
      </w:r>
      <w:r w:rsidRPr="00A31996">
        <w:rPr>
          <w:rFonts w:ascii="Miriam" w:hAnsi="Miriam" w:cs="Miriam"/>
          <w:b/>
          <w:bCs/>
          <w:i/>
          <w:iCs/>
          <w:noProof w:val="0"/>
          <w:color w:val="000000"/>
          <w:sz w:val="27"/>
          <w:szCs w:val="27"/>
          <w:rtl/>
        </w:rPr>
        <w:t>עניין אלמונית</w:t>
      </w:r>
      <w:r w:rsidRPr="00A31996">
        <w:rPr>
          <w:rFonts w:ascii="FrankRuehl" w:hAnsi="FrankRuehl" w:cs="FrankRuehl"/>
          <w:b/>
          <w:bCs/>
          <w:i/>
          <w:iCs/>
          <w:noProof w:val="0"/>
          <w:color w:val="000000"/>
          <w:spacing w:val="10"/>
          <w:sz w:val="28"/>
          <w:szCs w:val="28"/>
          <w:rtl/>
        </w:rPr>
        <w:t>); בג"ץ 287/16, פסקה 14; בע"מ 1059/17 </w:t>
      </w:r>
      <w:r w:rsidRPr="00A31996">
        <w:rPr>
          <w:rFonts w:ascii="Miriam" w:hAnsi="Miriam" w:cs="Miriam"/>
          <w:b/>
          <w:bCs/>
          <w:i/>
          <w:iCs/>
          <w:noProof w:val="0"/>
          <w:color w:val="000000"/>
          <w:sz w:val="27"/>
          <w:szCs w:val="27"/>
          <w:rtl/>
        </w:rPr>
        <w:t>פלוני נ' פלונית</w:t>
      </w:r>
      <w:r w:rsidRPr="00A31996">
        <w:rPr>
          <w:rFonts w:ascii="FrankRuehl" w:hAnsi="FrankRuehl" w:cs="FrankRuehl"/>
          <w:b/>
          <w:bCs/>
          <w:i/>
          <w:iCs/>
          <w:noProof w:val="0"/>
          <w:color w:val="000000"/>
          <w:spacing w:val="10"/>
          <w:sz w:val="28"/>
          <w:szCs w:val="28"/>
          <w:rtl/>
        </w:rPr>
        <w:t>, פסקה ו' (‏9.2.2017) (להלן: </w:t>
      </w:r>
      <w:r w:rsidRPr="00A31996">
        <w:rPr>
          <w:rFonts w:ascii="Miriam" w:hAnsi="Miriam" w:cs="Miriam"/>
          <w:b/>
          <w:bCs/>
          <w:i/>
          <w:iCs/>
          <w:noProof w:val="0"/>
          <w:color w:val="000000"/>
          <w:sz w:val="27"/>
          <w:szCs w:val="27"/>
          <w:rtl/>
        </w:rPr>
        <w:t>בע"מ 1059/17</w:t>
      </w:r>
      <w:r w:rsidRPr="00A31996">
        <w:rPr>
          <w:rFonts w:ascii="FrankRuehl" w:hAnsi="FrankRuehl" w:cs="FrankRuehl"/>
          <w:b/>
          <w:bCs/>
          <w:i/>
          <w:iCs/>
          <w:noProof w:val="0"/>
          <w:color w:val="000000"/>
          <w:spacing w:val="10"/>
          <w:sz w:val="28"/>
          <w:szCs w:val="28"/>
          <w:rtl/>
        </w:rPr>
        <w:t>); בע"מ 10734/06 </w:t>
      </w:r>
      <w:r w:rsidRPr="00A31996">
        <w:rPr>
          <w:rFonts w:ascii="Miriam" w:hAnsi="Miriam" w:cs="Miriam"/>
          <w:b/>
          <w:bCs/>
          <w:i/>
          <w:iCs/>
          <w:noProof w:val="0"/>
          <w:color w:val="000000"/>
          <w:sz w:val="27"/>
          <w:szCs w:val="27"/>
          <w:rtl/>
        </w:rPr>
        <w:t>פלוני נ' פלונית</w:t>
      </w:r>
      <w:r w:rsidRPr="00A31996">
        <w:rPr>
          <w:rFonts w:ascii="FrankRuehl" w:hAnsi="FrankRuehl" w:cs="FrankRuehl"/>
          <w:b/>
          <w:bCs/>
          <w:i/>
          <w:iCs/>
          <w:noProof w:val="0"/>
          <w:color w:val="000000"/>
          <w:spacing w:val="10"/>
          <w:sz w:val="28"/>
          <w:szCs w:val="28"/>
          <w:rtl/>
        </w:rPr>
        <w:t>, פסקה ה' (14.3.2007) (להלן: </w:t>
      </w:r>
      <w:r w:rsidRPr="00A31996">
        <w:rPr>
          <w:rFonts w:ascii="Miriam" w:hAnsi="Miriam" w:cs="Miriam"/>
          <w:b/>
          <w:bCs/>
          <w:i/>
          <w:iCs/>
          <w:noProof w:val="0"/>
          <w:color w:val="000000"/>
          <w:sz w:val="27"/>
          <w:szCs w:val="27"/>
          <w:rtl/>
        </w:rPr>
        <w:t>בע"מ 10734/06</w:t>
      </w:r>
      <w:r w:rsidRPr="00A31996">
        <w:rPr>
          <w:rFonts w:ascii="FrankRuehl" w:hAnsi="FrankRuehl" w:cs="FrankRuehl"/>
          <w:b/>
          <w:bCs/>
          <w:i/>
          <w:iCs/>
          <w:noProof w:val="0"/>
          <w:color w:val="000000"/>
          <w:spacing w:val="10"/>
          <w:sz w:val="28"/>
          <w:szCs w:val="28"/>
          <w:rtl/>
        </w:rPr>
        <w:t>); בע"מ 1477/13 </w:t>
      </w:r>
      <w:r w:rsidRPr="00A31996">
        <w:rPr>
          <w:rFonts w:ascii="Miriam" w:hAnsi="Miriam" w:cs="Miriam"/>
          <w:b/>
          <w:bCs/>
          <w:i/>
          <w:iCs/>
          <w:noProof w:val="0"/>
          <w:color w:val="000000"/>
          <w:sz w:val="27"/>
          <w:szCs w:val="27"/>
          <w:rtl/>
        </w:rPr>
        <w:t>פלונית נ' פלוני</w:t>
      </w:r>
      <w:r w:rsidRPr="00A31996">
        <w:rPr>
          <w:rFonts w:ascii="FrankRuehl" w:hAnsi="FrankRuehl" w:cs="FrankRuehl"/>
          <w:b/>
          <w:bCs/>
          <w:i/>
          <w:iCs/>
          <w:noProof w:val="0"/>
          <w:color w:val="000000"/>
          <w:spacing w:val="10"/>
          <w:sz w:val="28"/>
          <w:szCs w:val="28"/>
          <w:rtl/>
        </w:rPr>
        <w:t>, פסקה 4 (6.8.2013); וכן ראו תיק (גדול) 883179/2 </w:t>
      </w:r>
      <w:r w:rsidRPr="00A31996">
        <w:rPr>
          <w:rFonts w:ascii="Miriam" w:hAnsi="Miriam" w:cs="Miriam"/>
          <w:b/>
          <w:bCs/>
          <w:i/>
          <w:iCs/>
          <w:noProof w:val="0"/>
          <w:color w:val="000000"/>
          <w:sz w:val="27"/>
          <w:szCs w:val="27"/>
          <w:rtl/>
        </w:rPr>
        <w:t>פלונית נ' פלוני</w:t>
      </w:r>
      <w:r w:rsidRPr="00A31996">
        <w:rPr>
          <w:rFonts w:ascii="FrankRuehl" w:hAnsi="FrankRuehl" w:cs="FrankRuehl"/>
          <w:b/>
          <w:bCs/>
          <w:i/>
          <w:iCs/>
          <w:noProof w:val="0"/>
          <w:color w:val="000000"/>
          <w:spacing w:val="10"/>
          <w:sz w:val="28"/>
          <w:szCs w:val="28"/>
          <w:rtl/>
        </w:rPr>
        <w:t> (28.11.2016); תיק (גדול) 842067/5 </w:t>
      </w:r>
      <w:r w:rsidRPr="00A31996">
        <w:rPr>
          <w:rFonts w:ascii="Miriam" w:hAnsi="Miriam" w:cs="Miriam"/>
          <w:b/>
          <w:bCs/>
          <w:i/>
          <w:iCs/>
          <w:noProof w:val="0"/>
          <w:color w:val="000000"/>
          <w:sz w:val="27"/>
          <w:szCs w:val="27"/>
          <w:rtl/>
        </w:rPr>
        <w:t>פלוני נ' פלונית</w:t>
      </w:r>
      <w:r w:rsidRPr="00A31996">
        <w:rPr>
          <w:rFonts w:ascii="FrankRuehl" w:hAnsi="FrankRuehl" w:cs="FrankRuehl"/>
          <w:b/>
          <w:bCs/>
          <w:i/>
          <w:iCs/>
          <w:noProof w:val="0"/>
          <w:color w:val="000000"/>
          <w:spacing w:val="10"/>
          <w:sz w:val="28"/>
          <w:szCs w:val="28"/>
          <w:rtl/>
        </w:rPr>
        <w:t> (29.5.2017)). לצד זאת, הודגש בפסיקה כי ביסודה של הלכת השיתוף הספציפי עומדת מידה מסוימת של "עמימות אינהרנטית" (בג"ץ 2533/11 </w:t>
      </w:r>
      <w:r w:rsidRPr="00A31996">
        <w:rPr>
          <w:rFonts w:ascii="Miriam" w:hAnsi="Miriam" w:cs="Miriam"/>
          <w:b/>
          <w:bCs/>
          <w:i/>
          <w:iCs/>
          <w:noProof w:val="0"/>
          <w:color w:val="000000"/>
          <w:sz w:val="27"/>
          <w:szCs w:val="27"/>
          <w:rtl/>
        </w:rPr>
        <w:t>פלונית נ' בית הדין הרבני הגדול לערעורים</w:t>
      </w:r>
      <w:r w:rsidRPr="00A31996">
        <w:rPr>
          <w:rFonts w:ascii="FrankRuehl" w:hAnsi="FrankRuehl" w:cs="FrankRuehl"/>
          <w:b/>
          <w:bCs/>
          <w:i/>
          <w:iCs/>
          <w:noProof w:val="0"/>
          <w:color w:val="000000"/>
          <w:spacing w:val="10"/>
          <w:sz w:val="28"/>
          <w:szCs w:val="28"/>
          <w:rtl/>
        </w:rPr>
        <w:t>, פסקה ח' לפסק דינו של השופט (כתוארו אז) </w:t>
      </w:r>
      <w:r w:rsidRPr="00A31996">
        <w:rPr>
          <w:rFonts w:ascii="Miriam" w:hAnsi="Miriam" w:cs="Miriam"/>
          <w:b/>
          <w:bCs/>
          <w:i/>
          <w:iCs/>
          <w:noProof w:val="0"/>
          <w:color w:val="000000"/>
          <w:sz w:val="27"/>
          <w:szCs w:val="27"/>
          <w:rtl/>
        </w:rPr>
        <w:t>א' רובינשטיין</w:t>
      </w:r>
      <w:r w:rsidRPr="00A31996">
        <w:rPr>
          <w:rFonts w:ascii="FrankRuehl" w:hAnsi="FrankRuehl" w:cs="FrankRuehl"/>
          <w:b/>
          <w:bCs/>
          <w:i/>
          <w:iCs/>
          <w:noProof w:val="0"/>
          <w:color w:val="000000"/>
          <w:spacing w:val="10"/>
          <w:sz w:val="28"/>
          <w:szCs w:val="28"/>
          <w:rtl/>
        </w:rPr>
        <w:t> (‏26.10.2011) (להלן: </w:t>
      </w:r>
      <w:r w:rsidRPr="00A31996">
        <w:rPr>
          <w:rFonts w:ascii="Miriam" w:hAnsi="Miriam" w:cs="Miriam"/>
          <w:b/>
          <w:bCs/>
          <w:i/>
          <w:iCs/>
          <w:noProof w:val="0"/>
          <w:color w:val="000000"/>
          <w:sz w:val="27"/>
          <w:szCs w:val="27"/>
          <w:rtl/>
        </w:rPr>
        <w:t>בג"ץ 2533/11</w:t>
      </w:r>
      <w:r w:rsidRPr="00A31996">
        <w:rPr>
          <w:rFonts w:ascii="FrankRuehl" w:hAnsi="FrankRuehl" w:cs="FrankRuehl"/>
          <w:b/>
          <w:bCs/>
          <w:i/>
          <w:iCs/>
          <w:noProof w:val="0"/>
          <w:color w:val="000000"/>
          <w:spacing w:val="10"/>
          <w:sz w:val="28"/>
          <w:szCs w:val="28"/>
          <w:rtl/>
        </w:rPr>
        <w:t>)), ולפיכך לא ניתן לקבוע רשימה סגורה של קריטריונים לתחולתה (בע"מ 10734/06, פסקה ה').</w:t>
      </w:r>
    </w:p>
    <w:p w:rsidR="003D5153" w:rsidRDefault="003D5153" w:rsidP="003D5153">
      <w:pPr>
        <w:spacing w:line="360" w:lineRule="atLeast"/>
        <w:ind w:left="1440"/>
        <w:jc w:val="both"/>
        <w:rPr>
          <w:rFonts w:ascii="Garamond" w:hAnsi="Garamond" w:cs="Times New Roman"/>
          <w:b/>
          <w:bCs/>
          <w:i/>
          <w:iCs/>
          <w:noProof w:val="0"/>
          <w:color w:val="000000"/>
          <w:spacing w:val="10"/>
          <w:sz w:val="27"/>
          <w:szCs w:val="27"/>
          <w:rtl/>
        </w:rPr>
      </w:pPr>
    </w:p>
    <w:p w:rsidR="003D5153" w:rsidRDefault="003D5153" w:rsidP="003D5153">
      <w:pPr>
        <w:spacing w:line="360" w:lineRule="atLeast"/>
        <w:ind w:left="1440"/>
        <w:jc w:val="both"/>
        <w:rPr>
          <w:rFonts w:ascii="Garamond" w:hAnsi="Garamond" w:cs="Times New Roman"/>
          <w:b/>
          <w:bCs/>
          <w:i/>
          <w:iCs/>
          <w:noProof w:val="0"/>
          <w:color w:val="000000"/>
          <w:spacing w:val="10"/>
          <w:sz w:val="27"/>
          <w:szCs w:val="27"/>
          <w:rtl/>
        </w:rPr>
      </w:pPr>
    </w:p>
    <w:p w:rsidR="003D5153" w:rsidRPr="00A31996" w:rsidRDefault="003D5153" w:rsidP="003D5153">
      <w:pPr>
        <w:spacing w:line="360" w:lineRule="atLeast"/>
        <w:ind w:left="1440"/>
        <w:jc w:val="both"/>
        <w:rPr>
          <w:rFonts w:ascii="Garamond" w:hAnsi="Garamond" w:cs="Times New Roman"/>
          <w:b/>
          <w:bCs/>
          <w:i/>
          <w:iCs/>
          <w:noProof w:val="0"/>
          <w:color w:val="000000"/>
          <w:spacing w:val="10"/>
          <w:sz w:val="27"/>
          <w:szCs w:val="27"/>
          <w:rtl/>
        </w:rPr>
      </w:pPr>
    </w:p>
    <w:p w:rsidR="003D5153" w:rsidRPr="00A31996" w:rsidRDefault="003D5153" w:rsidP="003D5153">
      <w:pPr>
        <w:spacing w:line="360" w:lineRule="atLeast"/>
        <w:jc w:val="both"/>
        <w:rPr>
          <w:rFonts w:ascii="Garamond" w:hAnsi="Garamond" w:cs="Times New Roman"/>
          <w:b/>
          <w:bCs/>
          <w:i/>
          <w:iCs/>
          <w:noProof w:val="0"/>
          <w:color w:val="000000"/>
          <w:spacing w:val="10"/>
          <w:sz w:val="27"/>
          <w:szCs w:val="27"/>
          <w:rtl/>
        </w:rPr>
      </w:pPr>
      <w:r w:rsidRPr="00A31996">
        <w:rPr>
          <w:rFonts w:ascii="FrankRuehl" w:hAnsi="FrankRuehl" w:cs="FrankRuehl"/>
          <w:b/>
          <w:bCs/>
          <w:i/>
          <w:iCs/>
          <w:noProof w:val="0"/>
          <w:color w:val="000000"/>
          <w:spacing w:val="10"/>
          <w:sz w:val="28"/>
          <w:szCs w:val="28"/>
          <w:rtl/>
        </w:rPr>
        <w:t> </w:t>
      </w:r>
    </w:p>
    <w:p w:rsidR="003D5153" w:rsidRPr="00A31996" w:rsidRDefault="003D5153" w:rsidP="003D5153">
      <w:pPr>
        <w:spacing w:line="360" w:lineRule="atLeast"/>
        <w:ind w:left="1440"/>
        <w:jc w:val="both"/>
        <w:rPr>
          <w:rFonts w:ascii="Garamond" w:hAnsi="Garamond" w:cs="Times New Roman"/>
          <w:b/>
          <w:bCs/>
          <w:i/>
          <w:iCs/>
          <w:noProof w:val="0"/>
          <w:color w:val="000000"/>
          <w:spacing w:val="10"/>
          <w:sz w:val="27"/>
          <w:szCs w:val="27"/>
          <w:rtl/>
        </w:rPr>
      </w:pPr>
      <w:r w:rsidRPr="00A31996">
        <w:rPr>
          <w:rFonts w:ascii="Garamond" w:hAnsi="Garamond" w:cs="Times New Roman"/>
          <w:b/>
          <w:bCs/>
          <w:i/>
          <w:iCs/>
          <w:noProof w:val="0"/>
          <w:color w:val="000000"/>
          <w:spacing w:val="10"/>
          <w:sz w:val="27"/>
          <w:szCs w:val="27"/>
          <w:rtl/>
        </w:rPr>
        <w:t>32.</w:t>
      </w:r>
      <w:r w:rsidRPr="00A31996">
        <w:rPr>
          <w:rFonts w:cs="Times New Roman"/>
          <w:b/>
          <w:bCs/>
          <w:i/>
          <w:iCs/>
          <w:noProof w:val="0"/>
          <w:color w:val="000000"/>
          <w:spacing w:val="10"/>
          <w:sz w:val="14"/>
          <w:szCs w:val="14"/>
          <w:rtl/>
        </w:rPr>
        <w:t>         </w:t>
      </w:r>
      <w:r w:rsidRPr="00A31996">
        <w:rPr>
          <w:rFonts w:ascii="FrankRuehl" w:hAnsi="FrankRuehl" w:cs="FrankRuehl"/>
          <w:b/>
          <w:bCs/>
          <w:i/>
          <w:iCs/>
          <w:noProof w:val="0"/>
          <w:color w:val="000000"/>
          <w:spacing w:val="10"/>
          <w:sz w:val="28"/>
          <w:szCs w:val="28"/>
          <w:rtl/>
        </w:rPr>
        <w:t>בהכללה, ניתן לחלק את השיקולים שנמנו בפסיקה עד כה לשתי קטגוריות עיקריות: </w:t>
      </w:r>
      <w:r w:rsidRPr="00A31996">
        <w:rPr>
          <w:rFonts w:ascii="Miriam" w:hAnsi="Miriam" w:cs="Miriam"/>
          <w:b/>
          <w:bCs/>
          <w:i/>
          <w:iCs/>
          <w:noProof w:val="0"/>
          <w:color w:val="000000"/>
          <w:sz w:val="27"/>
          <w:szCs w:val="27"/>
          <w:rtl/>
        </w:rPr>
        <w:t>שיקולים הקשורים בנכס</w:t>
      </w:r>
      <w:r w:rsidRPr="00A31996">
        <w:rPr>
          <w:rFonts w:ascii="Miriam" w:hAnsi="Miriam" w:cs="Miriam"/>
          <w:b/>
          <w:bCs/>
          <w:i/>
          <w:iCs/>
          <w:noProof w:val="0"/>
          <w:color w:val="000000"/>
          <w:spacing w:val="10"/>
          <w:sz w:val="27"/>
          <w:szCs w:val="27"/>
          <w:rtl/>
        </w:rPr>
        <w:t> </w:t>
      </w:r>
      <w:r w:rsidRPr="00A31996">
        <w:rPr>
          <w:rFonts w:ascii="FrankRuehl" w:hAnsi="FrankRuehl" w:cs="FrankRuehl"/>
          <w:b/>
          <w:bCs/>
          <w:i/>
          <w:iCs/>
          <w:noProof w:val="0"/>
          <w:color w:val="000000"/>
          <w:spacing w:val="10"/>
          <w:sz w:val="28"/>
          <w:szCs w:val="28"/>
          <w:rtl/>
        </w:rPr>
        <w:t>שלגביו נטענת כוונת שיתוף, לצד </w:t>
      </w:r>
      <w:r w:rsidRPr="00A31996">
        <w:rPr>
          <w:rFonts w:ascii="Miriam" w:hAnsi="Miriam" w:cs="Miriam"/>
          <w:b/>
          <w:bCs/>
          <w:i/>
          <w:iCs/>
          <w:noProof w:val="0"/>
          <w:color w:val="000000"/>
          <w:sz w:val="27"/>
          <w:szCs w:val="27"/>
          <w:rtl/>
        </w:rPr>
        <w:t>שיקולים הקשורים בבני הזוג</w:t>
      </w:r>
      <w:r w:rsidRPr="00A31996">
        <w:rPr>
          <w:rFonts w:ascii="FrankRuehl" w:hAnsi="FrankRuehl" w:cs="FrankRuehl"/>
          <w:b/>
          <w:bCs/>
          <w:i/>
          <w:iCs/>
          <w:noProof w:val="0"/>
          <w:color w:val="000000"/>
          <w:spacing w:val="10"/>
          <w:sz w:val="28"/>
          <w:szCs w:val="28"/>
          <w:rtl/>
        </w:rPr>
        <w:t> עצמם. בין השיקולים הקשורים בנכס ניתן למנות את מקור הנכס (אם נקנה או התקבל כמתנה או כירושה, וככל שנקנה, מי מימן את הרכישה); את השאלה אם הנכס הגיע לידי בעליו לפני הנישואין או במהלכם; את השאלה אם ניתנו לבן הזוג הטוען לשיתוף בטוחות כגון הערת אזהרה; את התנהלותם הכספית-כלכלית של בני הזוג באשר לנכס, למשל אם לקחו משכנתא במשותף למימון הרכישה או הבנייה; את שאלת קיומן של השקעות כספיות בנכס מטעם בן הזוג הטוען לשיתוף; את השתתפותם של שני בני הזוג (בין בכסף ובין בעמל) בשיפוץ משמעותי שבוצע בנכס, בתכנונו או בבנייתו; הבטחות או מצגים אקטיביים מצד בן הזוג הרשום כלפי משנהו; וככל שמדובר בבית המגורים של בני הזוג – את משך הזמן שבו התגוררו בני הזוג בנכס. במסגרת הקטגוריה השנייה, שעניינה שיקולים הקשורים בבני הזוג, התחשבה הפסיקה במשך נישואיהם של בני הזוג; באופי יחסיהם ובשאלה אם התקיימה אפילו מידה חלקית של הרמוניה, "גם אם לא היו החיים 'גן של ורדים'" (בע"מ 1059/17, פסקה ז'; וראו גם עניין </w:t>
      </w:r>
      <w:r w:rsidRPr="00A31996">
        <w:rPr>
          <w:rFonts w:ascii="Miriam" w:hAnsi="Miriam" w:cs="Miriam"/>
          <w:b/>
          <w:bCs/>
          <w:i/>
          <w:iCs/>
          <w:noProof w:val="0"/>
          <w:color w:val="000000"/>
          <w:sz w:val="27"/>
          <w:szCs w:val="27"/>
          <w:rtl/>
        </w:rPr>
        <w:t>אלמונית</w:t>
      </w:r>
      <w:r w:rsidRPr="00A31996">
        <w:rPr>
          <w:rFonts w:ascii="FrankRuehl" w:hAnsi="FrankRuehl" w:cs="FrankRuehl"/>
          <w:b/>
          <w:bCs/>
          <w:i/>
          <w:iCs/>
          <w:noProof w:val="0"/>
          <w:color w:val="000000"/>
          <w:spacing w:val="10"/>
          <w:sz w:val="28"/>
          <w:szCs w:val="28"/>
          <w:rtl/>
        </w:rPr>
        <w:t>, פסקה 27 לחוות דעתו של השופט </w:t>
      </w:r>
      <w:r w:rsidRPr="00A31996">
        <w:rPr>
          <w:rFonts w:ascii="Miriam" w:hAnsi="Miriam" w:cs="Miriam"/>
          <w:b/>
          <w:bCs/>
          <w:i/>
          <w:iCs/>
          <w:noProof w:val="0"/>
          <w:color w:val="000000"/>
          <w:sz w:val="27"/>
          <w:szCs w:val="27"/>
          <w:rtl/>
        </w:rPr>
        <w:t>דנציגר </w:t>
      </w:r>
      <w:r w:rsidRPr="00A31996">
        <w:rPr>
          <w:rFonts w:ascii="FrankRuehl" w:hAnsi="FrankRuehl" w:cs="FrankRuehl"/>
          <w:b/>
          <w:bCs/>
          <w:i/>
          <w:iCs/>
          <w:noProof w:val="0"/>
          <w:color w:val="000000"/>
          <w:spacing w:val="10"/>
          <w:sz w:val="28"/>
          <w:szCs w:val="28"/>
          <w:rtl/>
        </w:rPr>
        <w:t>ופסקה 2 לחוות דעתו של השופט </w:t>
      </w:r>
      <w:r w:rsidRPr="00A31996">
        <w:rPr>
          <w:rFonts w:ascii="Miriam" w:hAnsi="Miriam" w:cs="Miriam"/>
          <w:b/>
          <w:bCs/>
          <w:i/>
          <w:iCs/>
          <w:noProof w:val="0"/>
          <w:color w:val="000000"/>
          <w:sz w:val="27"/>
          <w:szCs w:val="27"/>
          <w:rtl/>
        </w:rPr>
        <w:t>צ' זילברטל</w:t>
      </w:r>
      <w:r w:rsidRPr="00A31996">
        <w:rPr>
          <w:rFonts w:ascii="FrankRuehl" w:hAnsi="FrankRuehl" w:cs="FrankRuehl"/>
          <w:b/>
          <w:bCs/>
          <w:i/>
          <w:iCs/>
          <w:noProof w:val="0"/>
          <w:color w:val="000000"/>
          <w:spacing w:val="10"/>
          <w:sz w:val="28"/>
          <w:szCs w:val="28"/>
          <w:rtl/>
        </w:rPr>
        <w:t>); בהתנהלותם הכלכלית של בני הזוג ובשאלת קיומה של "אווירת שיתוף" ביניהם; בשאלה אם לבן הזוג הטוען לשיתוף יש נכס חיצוני אחר שנותר רשום על שמו; ובשאלת קיומם של ילדים משותפים. עוד נקבע בפסיקה כי הנטל להוכחת כוונת שיתוף בנכס ספציפי מונח לפתחו של בן הזוג הטוען לשיתוף, וזאת מכוח הכלל "המוציא מחברו עליו הראיה" (עניין </w:t>
      </w:r>
      <w:r w:rsidRPr="00A31996">
        <w:rPr>
          <w:rFonts w:ascii="Miriam" w:hAnsi="Miriam" w:cs="Miriam"/>
          <w:b/>
          <w:bCs/>
          <w:i/>
          <w:iCs/>
          <w:noProof w:val="0"/>
          <w:color w:val="000000"/>
          <w:sz w:val="27"/>
          <w:szCs w:val="27"/>
          <w:rtl/>
        </w:rPr>
        <w:t>אלמונית</w:t>
      </w:r>
      <w:r w:rsidRPr="00A31996">
        <w:rPr>
          <w:rFonts w:ascii="FrankRuehl" w:hAnsi="FrankRuehl" w:cs="FrankRuehl"/>
          <w:b/>
          <w:bCs/>
          <w:i/>
          <w:iCs/>
          <w:noProof w:val="0"/>
          <w:color w:val="000000"/>
          <w:spacing w:val="10"/>
          <w:sz w:val="28"/>
          <w:szCs w:val="28"/>
          <w:rtl/>
        </w:rPr>
        <w:t>, פסקה 14 לפסק דינו של השופט </w:t>
      </w:r>
      <w:r w:rsidRPr="00A31996">
        <w:rPr>
          <w:rFonts w:ascii="Miriam" w:hAnsi="Miriam" w:cs="Miriam"/>
          <w:b/>
          <w:bCs/>
          <w:i/>
          <w:iCs/>
          <w:noProof w:val="0"/>
          <w:color w:val="000000"/>
          <w:sz w:val="27"/>
          <w:szCs w:val="27"/>
          <w:rtl/>
        </w:rPr>
        <w:t>י' דנציגר</w:t>
      </w:r>
      <w:r w:rsidRPr="00A31996">
        <w:rPr>
          <w:rFonts w:ascii="FrankRuehl" w:hAnsi="FrankRuehl" w:cs="FrankRuehl"/>
          <w:b/>
          <w:bCs/>
          <w:i/>
          <w:iCs/>
          <w:noProof w:val="0"/>
          <w:color w:val="000000"/>
          <w:spacing w:val="10"/>
          <w:sz w:val="28"/>
          <w:szCs w:val="28"/>
          <w:rtl/>
        </w:rPr>
        <w:t>).</w:t>
      </w:r>
      <w:r w:rsidRPr="00A31996">
        <w:rPr>
          <w:rFonts w:ascii="Garamond" w:hAnsi="Garamond" w:cs="Times New Roman" w:hint="cs"/>
          <w:b/>
          <w:bCs/>
          <w:i/>
          <w:iCs/>
          <w:noProof w:val="0"/>
          <w:color w:val="000000"/>
          <w:spacing w:val="10"/>
          <w:sz w:val="27"/>
          <w:szCs w:val="27"/>
          <w:rtl/>
        </w:rPr>
        <w:t>"</w:t>
      </w:r>
    </w:p>
    <w:p w:rsidR="003D5153" w:rsidRDefault="003D5153" w:rsidP="003D5153">
      <w:pPr>
        <w:pStyle w:val="aa"/>
        <w:spacing w:line="360" w:lineRule="auto"/>
        <w:ind w:left="360"/>
        <w:jc w:val="both"/>
        <w:rPr>
          <w:rFonts w:ascii="FrankRuehl" w:hAnsi="FrankRuehl" w:cs="FrankRuehl"/>
          <w:noProof w:val="0"/>
          <w:sz w:val="28"/>
          <w:szCs w:val="28"/>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לטעמי, יש לקבוע כי בכל הנוגע בשיקולים הקשורים בבני הזוג, ובנסיבות הכוללות, יהא זה בלתי צודק או הוגן לחלוטין להורות כפי דרישת התובע. </w:t>
      </w:r>
    </w:p>
    <w:p w:rsidR="003D5153" w:rsidRPr="005C1042" w:rsidRDefault="003D5153" w:rsidP="003D5153">
      <w:pPr>
        <w:pStyle w:val="aa"/>
        <w:spacing w:line="360" w:lineRule="auto"/>
        <w:ind w:left="360"/>
        <w:jc w:val="both"/>
        <w:rPr>
          <w:rFonts w:ascii="FrankRuehl" w:hAnsi="FrankRuehl" w:cs="FrankRuehl"/>
          <w:noProof w:val="0"/>
          <w:sz w:val="28"/>
          <w:szCs w:val="28"/>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אעיר, כי גם אם השקיע התובע דבר מה לפני כ- 15 או 20 שנה בשיפוץ הנכס, נשאלת השאלה גם האם הוכיח תביעתו. </w:t>
      </w:r>
    </w:p>
    <w:p w:rsidR="003D5153" w:rsidRPr="003D5153" w:rsidRDefault="003D5153" w:rsidP="003D5153">
      <w:pPr>
        <w:pStyle w:val="aa"/>
        <w:rPr>
          <w:rFonts w:ascii="FrankRuehl" w:hAnsi="FrankRuehl" w:cs="FrankRuehl"/>
          <w:noProof w:val="0"/>
          <w:sz w:val="28"/>
          <w:szCs w:val="28"/>
          <w:rtl/>
        </w:rPr>
      </w:pPr>
    </w:p>
    <w:p w:rsidR="003D5153" w:rsidRDefault="003D5153" w:rsidP="003D5153">
      <w:pPr>
        <w:pStyle w:val="aa"/>
        <w:spacing w:line="360" w:lineRule="auto"/>
        <w:ind w:left="360"/>
        <w:jc w:val="both"/>
        <w:rPr>
          <w:rFonts w:ascii="FrankRuehl" w:hAnsi="FrankRuehl" w:cs="FrankRuehl"/>
          <w:noProof w:val="0"/>
          <w:sz w:val="28"/>
          <w:szCs w:val="28"/>
        </w:rPr>
      </w:pPr>
    </w:p>
    <w:p w:rsidR="003D5153" w:rsidRPr="00BB0CF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לשיטתו של התובע הושקעו כספי שיפוץ בהחלפת דלת, מזגנים וחומרי בניה בשנת 2003, וכך בשנת 2008 הושקעו כ- 37,500 ₪ שהם, לשיטתו, 5% משווי הדירה בשנת 2003, וכן כאמור, הותקנה, לשיטת התובע,  מעלית בבניין, וכן נעשה בו שיפוץ לפני כ- 16 שנה. </w:t>
      </w:r>
    </w:p>
    <w:p w:rsidR="003D5153" w:rsidRPr="003D5153" w:rsidRDefault="003D5153" w:rsidP="003D5153">
      <w:pPr>
        <w:spacing w:line="360" w:lineRule="auto"/>
        <w:jc w:val="both"/>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מגורי הצדדים, בשעתו, בדירה אינם מעלים ואינם מורידים, שכן הצדדים התגוררו גם בדירה שבבעלות התובע, לגביה אינו טוען לשיתוף. </w:t>
      </w:r>
    </w:p>
    <w:p w:rsidR="003D5153" w:rsidRPr="00BB0CF8" w:rsidRDefault="003D5153" w:rsidP="003D5153">
      <w:pPr>
        <w:pStyle w:val="aa"/>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כפי דעת מנהל העיזבון בסיכומיו, סבור אני כי מדובר בשיפוץ בטל בשישים, שככל שהקים לתובע זכות השבה או שיתוף, זכה לפיצוי בעיזבון המנוחה. השבה זו בצדק לא נתבעה, שהרי התובע נבנה לאורך השנים מנכסי המנוחה.</w:t>
      </w:r>
    </w:p>
    <w:p w:rsidR="003D5153" w:rsidRPr="005C1042" w:rsidRDefault="003D5153" w:rsidP="003D5153">
      <w:pPr>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כתב מנהל העיזבון מסעיף 49 לסיכומיו, כך:</w:t>
      </w:r>
    </w:p>
    <w:p w:rsidR="003D5153" w:rsidRDefault="003D5153" w:rsidP="003D5153">
      <w:pPr>
        <w:pStyle w:val="aa"/>
        <w:spacing w:line="360" w:lineRule="auto"/>
        <w:ind w:left="360"/>
        <w:jc w:val="both"/>
        <w:rPr>
          <w:rFonts w:ascii="FrankRuehl" w:hAnsi="FrankRuehl" w:cs="FrankRuehl"/>
          <w:noProof w:val="0"/>
          <w:sz w:val="28"/>
          <w:szCs w:val="28"/>
        </w:rPr>
      </w:pPr>
      <w:r>
        <w:rPr>
          <w:rFonts w:ascii="FrankRuehl" w:hAnsi="FrankRuehl" w:cs="FrankRuehl" w:hint="cs"/>
          <w:noProof w:val="0"/>
          <w:sz w:val="28"/>
          <w:szCs w:val="28"/>
          <w:rtl/>
        </w:rPr>
        <w:t>.......</w:t>
      </w:r>
    </w:p>
    <w:p w:rsidR="003D5153" w:rsidRPr="003D5153" w:rsidRDefault="003D5153" w:rsidP="003D5153">
      <w:pPr>
        <w:spacing w:line="360" w:lineRule="auto"/>
        <w:jc w:val="both"/>
        <w:rPr>
          <w:rFonts w:ascii="FrankRuehl" w:hAnsi="FrankRuehl" w:cs="FrankRuehl"/>
          <w:noProof w:val="0"/>
          <w:sz w:val="28"/>
          <w:szCs w:val="28"/>
          <w:rtl/>
        </w:rPr>
      </w:pPr>
      <w:r w:rsidRPr="003D5153">
        <w:rPr>
          <w:rFonts w:ascii="FrankRuehl" w:hAnsi="FrankRuehl" w:cs="FrankRuehl"/>
          <w:noProof w:val="0"/>
          <w:sz w:val="28"/>
          <w:szCs w:val="28"/>
          <w:rtl/>
        </w:rPr>
        <w:tab/>
      </w: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מסמכים שנערכו בדיעבד, פרי עטו של התובע, אינם ראיה מהימנה, ומשיכות כספים מן הבנק, בלא הקשר לקבלות ולחשבוניות עבור שיפוץ, גם הם אינם ראיה מהימנה.</w:t>
      </w:r>
    </w:p>
    <w:p w:rsidR="003D5153" w:rsidRDefault="003D5153" w:rsidP="003D5153">
      <w:pPr>
        <w:pStyle w:val="aa"/>
        <w:spacing w:line="360" w:lineRule="auto"/>
        <w:ind w:left="360"/>
        <w:jc w:val="both"/>
        <w:rPr>
          <w:rFonts w:ascii="FrankRuehl" w:hAnsi="FrankRuehl" w:cs="FrankRuehl"/>
          <w:noProof w:val="0"/>
          <w:sz w:val="28"/>
          <w:szCs w:val="28"/>
        </w:rPr>
      </w:pPr>
      <w:r>
        <w:rPr>
          <w:rFonts w:ascii="FrankRuehl" w:hAnsi="FrankRuehl" w:cs="FrankRuehl" w:hint="cs"/>
          <w:noProof w:val="0"/>
          <w:sz w:val="28"/>
          <w:szCs w:val="28"/>
          <w:rtl/>
        </w:rPr>
        <w:t xml:space="preserve">טענות מנהל העיזבון מקובלות איפוא עלי. </w:t>
      </w:r>
    </w:p>
    <w:p w:rsidR="003D5153" w:rsidRDefault="003D5153" w:rsidP="003D5153">
      <w:pPr>
        <w:pStyle w:val="aa"/>
        <w:spacing w:line="360" w:lineRule="auto"/>
        <w:ind w:left="360"/>
        <w:jc w:val="both"/>
        <w:rPr>
          <w:rFonts w:ascii="FrankRuehl" w:hAnsi="FrankRuehl" w:cs="FrankRuehl"/>
          <w:noProof w:val="0"/>
          <w:sz w:val="28"/>
          <w:szCs w:val="28"/>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סבור אני, מכל הטעמים לעיל, שגם התובענה לשיתוף ספציפי דינה דחיה. </w:t>
      </w:r>
    </w:p>
    <w:p w:rsidR="003D5153" w:rsidRPr="00367806" w:rsidRDefault="003D5153" w:rsidP="003D5153">
      <w:pPr>
        <w:pStyle w:val="aa"/>
        <w:rPr>
          <w:rFonts w:ascii="FrankRuehl" w:hAnsi="FrankRuehl" w:cs="FrankRuehl"/>
          <w:noProof w:val="0"/>
          <w:sz w:val="28"/>
          <w:szCs w:val="28"/>
          <w:rtl/>
        </w:rPr>
      </w:pPr>
    </w:p>
    <w:p w:rsidR="003D5153" w:rsidRPr="003D5153" w:rsidRDefault="003D5153" w:rsidP="003D5153">
      <w:pPr>
        <w:pStyle w:val="aa"/>
        <w:numPr>
          <w:ilvl w:val="0"/>
          <w:numId w:val="1"/>
        </w:numPr>
        <w:spacing w:line="360" w:lineRule="auto"/>
        <w:jc w:val="both"/>
        <w:rPr>
          <w:rFonts w:ascii="FrankRuehl" w:hAnsi="FrankRuehl" w:cs="FrankRuehl"/>
          <w:noProof w:val="0"/>
          <w:sz w:val="28"/>
          <w:szCs w:val="28"/>
          <w:rtl/>
        </w:rPr>
      </w:pPr>
      <w:r>
        <w:rPr>
          <w:rFonts w:ascii="FrankRuehl" w:hAnsi="FrankRuehl" w:cs="FrankRuehl" w:hint="cs"/>
          <w:noProof w:val="0"/>
          <w:sz w:val="28"/>
          <w:szCs w:val="28"/>
          <w:rtl/>
        </w:rPr>
        <w:t xml:space="preserve">סכומי התביעה עולים למעשה (מחצית דירה, בצירוף למעלה מ- 500,000 ₪) קרוב לסך 2,000,000 ₪ לפחות </w:t>
      </w:r>
      <w:r>
        <w:rPr>
          <w:rFonts w:ascii="FrankRuehl" w:hAnsi="FrankRuehl" w:cs="FrankRuehl"/>
          <w:noProof w:val="0"/>
          <w:sz w:val="28"/>
          <w:szCs w:val="28"/>
          <w:rtl/>
        </w:rPr>
        <w:t>–</w:t>
      </w:r>
      <w:r>
        <w:rPr>
          <w:rFonts w:ascii="FrankRuehl" w:hAnsi="FrankRuehl" w:cs="FrankRuehl" w:hint="cs"/>
          <w:noProof w:val="0"/>
          <w:sz w:val="28"/>
          <w:szCs w:val="28"/>
          <w:rtl/>
        </w:rPr>
        <w:t xml:space="preserve"> ומכאן יש גם לגזור את סך ההוצאות. </w:t>
      </w:r>
    </w:p>
    <w:p w:rsidR="003D5153" w:rsidRDefault="003D5153" w:rsidP="003D5153">
      <w:pPr>
        <w:rPr>
          <w:rFonts w:ascii="FrankRuehl" w:hAnsi="FrankRuehl" w:cs="FrankRuehl"/>
          <w:noProof w:val="0"/>
          <w:sz w:val="28"/>
          <w:szCs w:val="28"/>
          <w:rtl/>
        </w:rPr>
      </w:pPr>
    </w:p>
    <w:p w:rsidR="003D5153" w:rsidRDefault="003D5153" w:rsidP="003D5153">
      <w:pPr>
        <w:spacing w:line="360" w:lineRule="auto"/>
        <w:rPr>
          <w:rFonts w:ascii="FrankRuehl" w:hAnsi="FrankRuehl" w:cs="FrankRuehl"/>
          <w:b/>
          <w:bCs/>
          <w:noProof w:val="0"/>
          <w:sz w:val="28"/>
          <w:szCs w:val="28"/>
          <w:u w:val="single"/>
          <w:rtl/>
        </w:rPr>
      </w:pPr>
      <w:r w:rsidRPr="00367806">
        <w:rPr>
          <w:rFonts w:ascii="FrankRuehl" w:hAnsi="FrankRuehl" w:cs="FrankRuehl" w:hint="cs"/>
          <w:b/>
          <w:bCs/>
          <w:noProof w:val="0"/>
          <w:sz w:val="28"/>
          <w:szCs w:val="28"/>
          <w:u w:val="single"/>
          <w:rtl/>
        </w:rPr>
        <w:t>סוף דבר</w:t>
      </w:r>
    </w:p>
    <w:p w:rsidR="003D5153" w:rsidRPr="00367806" w:rsidRDefault="003D5153" w:rsidP="003D5153">
      <w:pPr>
        <w:spacing w:line="360" w:lineRule="auto"/>
        <w:rPr>
          <w:rFonts w:ascii="FrankRuehl" w:hAnsi="FrankRuehl" w:cs="FrankRuehl"/>
          <w:b/>
          <w:bCs/>
          <w:noProof w:val="0"/>
          <w:sz w:val="28"/>
          <w:szCs w:val="28"/>
          <w:u w:val="single"/>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התובענה, על כל רכיביה, נדחית. </w:t>
      </w:r>
    </w:p>
    <w:p w:rsidR="003D5153" w:rsidRDefault="003D5153" w:rsidP="003D5153">
      <w:pPr>
        <w:spacing w:line="360" w:lineRule="auto"/>
        <w:jc w:val="both"/>
        <w:rPr>
          <w:rFonts w:ascii="FrankRuehl" w:hAnsi="FrankRuehl" w:cs="FrankRuehl"/>
          <w:noProof w:val="0"/>
          <w:sz w:val="28"/>
          <w:szCs w:val="28"/>
          <w:rtl/>
        </w:rPr>
      </w:pPr>
    </w:p>
    <w:p w:rsidR="003D5153" w:rsidRPr="003D5153" w:rsidRDefault="003D5153" w:rsidP="003D5153">
      <w:pPr>
        <w:spacing w:line="360" w:lineRule="auto"/>
        <w:jc w:val="both"/>
        <w:rPr>
          <w:rFonts w:ascii="FrankRuehl" w:hAnsi="FrankRuehl" w:cs="FrankRuehl"/>
          <w:noProof w:val="0"/>
          <w:sz w:val="28"/>
          <w:szCs w:val="28"/>
        </w:rPr>
      </w:pPr>
    </w:p>
    <w:p w:rsidR="003D5153" w:rsidRPr="0039453A" w:rsidRDefault="003D5153" w:rsidP="003D5153">
      <w:pPr>
        <w:pStyle w:val="aa"/>
        <w:spacing w:line="360" w:lineRule="auto"/>
        <w:ind w:left="360"/>
        <w:jc w:val="both"/>
        <w:rPr>
          <w:rFonts w:ascii="FrankRuehl" w:hAnsi="FrankRuehl" w:cs="FrankRuehl"/>
          <w:noProof w:val="0"/>
          <w:sz w:val="28"/>
          <w:szCs w:val="28"/>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התובע יישא בהוצאות הנתבע, קרי מנהל העיזבון וילדיו שלו, בחלקים שווים, בסך</w:t>
      </w:r>
    </w:p>
    <w:p w:rsidR="003D5153" w:rsidRDefault="003D5153" w:rsidP="003D5153">
      <w:pPr>
        <w:spacing w:line="360" w:lineRule="auto"/>
        <w:ind w:firstLine="360"/>
        <w:jc w:val="both"/>
        <w:rPr>
          <w:rFonts w:ascii="FrankRuehl" w:hAnsi="FrankRuehl" w:cs="FrankRuehl"/>
          <w:noProof w:val="0"/>
          <w:sz w:val="28"/>
          <w:szCs w:val="28"/>
          <w:rtl/>
        </w:rPr>
      </w:pPr>
      <w:r w:rsidRPr="0041158B">
        <w:rPr>
          <w:rFonts w:ascii="FrankRuehl" w:hAnsi="FrankRuehl" w:cs="FrankRuehl" w:hint="cs"/>
          <w:noProof w:val="0"/>
          <w:sz w:val="28"/>
          <w:szCs w:val="28"/>
          <w:rtl/>
        </w:rPr>
        <w:t xml:space="preserve">125,000 ₪. </w:t>
      </w:r>
    </w:p>
    <w:p w:rsidR="003D5153" w:rsidRPr="003D5153" w:rsidRDefault="003D5153" w:rsidP="003D5153">
      <w:pPr>
        <w:rPr>
          <w:rFonts w:ascii="FrankRuehl" w:hAnsi="FrankRuehl" w:cs="FrankRuehl"/>
          <w:noProof w:val="0"/>
          <w:sz w:val="28"/>
          <w:szCs w:val="28"/>
          <w:rtl/>
        </w:rPr>
      </w:pPr>
    </w:p>
    <w:p w:rsidR="003D5153" w:rsidRDefault="003D5153" w:rsidP="003D5153">
      <w:pPr>
        <w:pStyle w:val="aa"/>
        <w:numPr>
          <w:ilvl w:val="0"/>
          <w:numId w:val="1"/>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מתיר פרסום פסק דיני זה, ללא פרט מזהה כלשהו אודות הצדדים. </w:t>
      </w:r>
    </w:p>
    <w:p w:rsidR="003D5153" w:rsidRPr="00367806" w:rsidRDefault="003D5153" w:rsidP="003D5153">
      <w:pPr>
        <w:pStyle w:val="aa"/>
        <w:rPr>
          <w:rFonts w:ascii="FrankRuehl" w:hAnsi="FrankRuehl" w:cs="FrankRuehl"/>
          <w:noProof w:val="0"/>
          <w:sz w:val="28"/>
          <w:szCs w:val="28"/>
          <w:rtl/>
        </w:rPr>
      </w:pPr>
    </w:p>
    <w:p w:rsidR="003D5153" w:rsidRPr="00AA1101" w:rsidRDefault="003D5153" w:rsidP="003D5153">
      <w:pPr>
        <w:pStyle w:val="aa"/>
        <w:numPr>
          <w:ilvl w:val="0"/>
          <w:numId w:val="1"/>
        </w:numPr>
        <w:spacing w:line="360" w:lineRule="auto"/>
        <w:jc w:val="both"/>
        <w:rPr>
          <w:rFonts w:ascii="Arial" w:hAnsi="Arial"/>
          <w:b/>
          <w:bCs/>
          <w:noProof w:val="0"/>
        </w:rPr>
      </w:pPr>
      <w:r w:rsidRPr="00AA1101">
        <w:rPr>
          <w:rFonts w:ascii="FrankRuehl" w:hAnsi="FrankRuehl" w:cs="FrankRuehl" w:hint="cs"/>
          <w:b/>
          <w:bCs/>
          <w:noProof w:val="0"/>
          <w:sz w:val="28"/>
          <w:szCs w:val="28"/>
          <w:u w:val="single"/>
          <w:rtl/>
        </w:rPr>
        <w:t>המזכירות תסגור את התיק</w:t>
      </w:r>
      <w:r w:rsidRPr="00AA1101">
        <w:rPr>
          <w:rFonts w:ascii="FrankRuehl" w:hAnsi="FrankRuehl" w:cs="FrankRuehl" w:hint="cs"/>
          <w:b/>
          <w:bCs/>
          <w:noProof w:val="0"/>
          <w:sz w:val="28"/>
          <w:szCs w:val="28"/>
          <w:rtl/>
        </w:rPr>
        <w:t>.</w:t>
      </w:r>
    </w:p>
    <w:p w:rsidR="003D5153" w:rsidRPr="00AA1101" w:rsidRDefault="003D5153" w:rsidP="003D5153">
      <w:pPr>
        <w:pStyle w:val="aa"/>
        <w:rPr>
          <w:rFonts w:ascii="Arial" w:hAnsi="Arial"/>
          <w:b/>
          <w:bCs/>
          <w:noProof w:val="0"/>
          <w:rtl/>
        </w:rPr>
      </w:pPr>
    </w:p>
    <w:p w:rsidR="003D5153" w:rsidRPr="00AA1101" w:rsidRDefault="003D5153" w:rsidP="003D5153">
      <w:pPr>
        <w:spacing w:line="360" w:lineRule="auto"/>
        <w:jc w:val="both"/>
        <w:rPr>
          <w:rFonts w:ascii="Arial" w:hAnsi="Arial"/>
          <w:b/>
          <w:bCs/>
          <w:noProof w:val="0"/>
        </w:rPr>
      </w:pPr>
    </w:p>
    <w:p w:rsidR="003D5153" w:rsidRPr="00AA1101" w:rsidRDefault="003D5153" w:rsidP="003D5153">
      <w:pPr>
        <w:pStyle w:val="aa"/>
        <w:rPr>
          <w:rFonts w:ascii="Arial" w:hAnsi="Arial"/>
          <w:b/>
          <w:bCs/>
          <w:noProof w:val="0"/>
          <w:rtl/>
        </w:rPr>
      </w:pPr>
    </w:p>
    <w:p w:rsidR="003D5153" w:rsidRPr="00AA1101" w:rsidRDefault="003D5153" w:rsidP="003D5153">
      <w:pPr>
        <w:spacing w:line="360" w:lineRule="auto"/>
        <w:jc w:val="both"/>
        <w:rPr>
          <w:rFonts w:ascii="Arial" w:hAnsi="Arial"/>
          <w:b/>
          <w:bCs/>
          <w:noProof w:val="0"/>
          <w:rtl/>
        </w:rPr>
      </w:pPr>
      <w:r w:rsidRPr="00AA1101">
        <w:rPr>
          <w:rFonts w:ascii="Arial" w:hAnsi="Arial"/>
          <w:b/>
          <w:bCs/>
          <w:noProof w:val="0"/>
          <w:rtl/>
        </w:rPr>
        <w:t xml:space="preserve">ניתן היום,  </w:t>
      </w:r>
      <w:sdt>
        <w:sdtPr>
          <w:rPr>
            <w:rFonts w:ascii="Arial" w:hAnsi="Arial"/>
            <w:b/>
            <w:bCs/>
            <w:noProof w:val="0"/>
            <w:rtl/>
          </w:rPr>
          <w:alias w:val="1455"/>
          <w:tag w:val="1455"/>
          <w:id w:val="-1784405537"/>
          <w:text w:multiLine="1"/>
        </w:sdtPr>
        <w:sdtEndPr/>
        <w:sdtContent>
          <w:r>
            <w:rPr>
              <w:rFonts w:ascii="Arial" w:hAnsi="Arial" w:hint="cs"/>
              <w:b/>
              <w:bCs/>
              <w:noProof w:val="0"/>
              <w:rtl/>
            </w:rPr>
            <w:t>י"ח אלול תשפ"ג</w:t>
          </w:r>
        </w:sdtContent>
      </w:sdt>
      <w:r w:rsidRPr="00AA1101">
        <w:rPr>
          <w:rFonts w:ascii="Arial" w:hAnsi="Arial"/>
          <w:b/>
          <w:bCs/>
          <w:noProof w:val="0"/>
          <w:rtl/>
        </w:rPr>
        <w:t xml:space="preserve">, </w:t>
      </w:r>
      <w:sdt>
        <w:sdtPr>
          <w:rPr>
            <w:rFonts w:ascii="Arial" w:hAnsi="Arial"/>
            <w:b/>
            <w:bCs/>
            <w:noProof w:val="0"/>
            <w:rtl/>
          </w:rPr>
          <w:alias w:val="1456"/>
          <w:tag w:val="1456"/>
          <w:id w:val="-1133865600"/>
          <w:text w:multiLine="1"/>
        </w:sdtPr>
        <w:sdtEndPr/>
        <w:sdtContent>
          <w:r>
            <w:rPr>
              <w:rFonts w:ascii="Arial" w:hAnsi="Arial" w:hint="cs"/>
              <w:b/>
              <w:bCs/>
              <w:noProof w:val="0"/>
              <w:rtl/>
            </w:rPr>
            <w:t>04 ספטמבר 2023</w:t>
          </w:r>
        </w:sdtContent>
      </w:sdt>
      <w:r w:rsidRPr="00AA1101">
        <w:rPr>
          <w:rFonts w:ascii="Arial" w:hAnsi="Arial"/>
          <w:b/>
          <w:bCs/>
          <w:noProof w:val="0"/>
          <w:rtl/>
        </w:rPr>
        <w:t>, בהעדר הצדדים.</w:t>
      </w:r>
    </w:p>
    <w:p w:rsidR="003D5153" w:rsidRDefault="003D5153" w:rsidP="003D5153">
      <w:pPr>
        <w:spacing w:line="360" w:lineRule="auto"/>
        <w:jc w:val="both"/>
        <w:rPr>
          <w:rFonts w:ascii="Arial" w:hAnsi="Arial"/>
          <w:noProof w:val="0"/>
          <w:rtl/>
        </w:rPr>
      </w:pPr>
    </w:p>
    <w:p w:rsidR="003D5153" w:rsidRDefault="00EE7D64" w:rsidP="003D5153">
      <w:pPr>
        <w:spacing w:line="360" w:lineRule="auto"/>
        <w:ind w:left="3600" w:firstLine="720"/>
        <w:jc w:val="both"/>
      </w:pPr>
      <w:sdt>
        <w:sdtPr>
          <w:rPr>
            <w:rtl/>
          </w:rPr>
          <w:alias w:val="MergeField"/>
          <w:tag w:val="1237"/>
          <w:id w:val="-1142648316"/>
        </w:sdtPr>
        <w:sdtEndPr/>
        <w:sdtContent>
          <w:r w:rsidR="003D5153">
            <w:drawing>
              <wp:inline distT="0" distB="0" distL="0" distR="0" wp14:anchorId="5A3886FF" wp14:editId="459FC991">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1933574" cy="762000"/>
                        </a:xfrm>
                        <a:prstGeom prst="rect">
                          <a:avLst/>
                        </a:prstGeom>
                      </pic:spPr>
                    </pic:pic>
                  </a:graphicData>
                </a:graphic>
              </wp:inline>
            </w:drawing>
          </w:r>
        </w:sdtContent>
      </w:sdt>
    </w:p>
    <w:p w:rsidR="003D5153" w:rsidRDefault="003D5153" w:rsidP="003D5153">
      <w:pPr>
        <w:spacing w:line="360" w:lineRule="auto"/>
        <w:ind w:left="3600" w:firstLine="720"/>
        <w:jc w:val="both"/>
        <w:rPr>
          <w:rFonts w:ascii="Arial" w:hAnsi="Arial"/>
          <w:noProof w:val="0"/>
          <w:rtl/>
        </w:rPr>
      </w:pPr>
    </w:p>
    <w:p w:rsidR="00BF3D5E" w:rsidRPr="003D5153" w:rsidRDefault="00BF3D5E" w:rsidP="003D5153">
      <w:pPr>
        <w:spacing w:line="360" w:lineRule="auto"/>
        <w:jc w:val="both"/>
        <w:rPr>
          <w:rFonts w:ascii="David" w:hAnsi="David"/>
        </w:rPr>
      </w:pPr>
    </w:p>
    <w:sectPr w:rsidR="00BF3D5E" w:rsidRPr="003D5153" w:rsidSect="002914D6">
      <w:headerReference w:type="even" r:id="rId19"/>
      <w:headerReference w:type="default" r:id="rId20"/>
      <w:footerReference w:type="even" r:id="rId21"/>
      <w:footerReference w:type="default" r:id="rId22"/>
      <w:headerReference w:type="first" r:id="rId23"/>
      <w:footerReference w:type="first" r:id="rId24"/>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D64" w:rsidRDefault="00EE7D64" w:rsidP="003D5153">
      <w:r>
        <w:separator/>
      </w:r>
    </w:p>
  </w:endnote>
  <w:endnote w:type="continuationSeparator" w:id="0">
    <w:p w:rsidR="00EE7D64" w:rsidRDefault="00EE7D64" w:rsidP="003D5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Microsoft Sans Serif"/>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MS Mincho">
    <w:altName w:val="Yu Gothic UI"/>
    <w:panose1 w:val="02020609040205080304"/>
    <w:charset w:val="80"/>
    <w:family w:val="roman"/>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789" w:rsidRDefault="007F278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E65" w:rsidRDefault="00296D76">
    <w:pPr>
      <w:pStyle w:val="a5"/>
      <w:jc w:val="center"/>
      <w:rPr>
        <w:rStyle w:val="a8"/>
      </w:rPr>
    </w:pPr>
    <w:r>
      <w:rPr>
        <w:rStyle w:val="a8"/>
      </w:rPr>
      <w:fldChar w:fldCharType="begin"/>
    </w:r>
    <w:r>
      <w:rPr>
        <w:rStyle w:val="a8"/>
      </w:rPr>
      <w:instrText xml:space="preserve"> PAGE </w:instrText>
    </w:r>
    <w:r>
      <w:rPr>
        <w:rStyle w:val="a8"/>
      </w:rPr>
      <w:fldChar w:fldCharType="separate"/>
    </w:r>
    <w:r w:rsidR="007F2789">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7F2789">
      <w:rPr>
        <w:rStyle w:val="a8"/>
        <w:rtl/>
      </w:rPr>
      <w:t>16</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789" w:rsidRDefault="007F27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D64" w:rsidRDefault="00EE7D64" w:rsidP="003D5153">
      <w:r>
        <w:separator/>
      </w:r>
    </w:p>
  </w:footnote>
  <w:footnote w:type="continuationSeparator" w:id="0">
    <w:p w:rsidR="00EE7D64" w:rsidRDefault="00EE7D64" w:rsidP="003D5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789" w:rsidRDefault="007F278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E65" w:rsidRDefault="00296D76">
    <w:pPr>
      <w:pStyle w:val="a3"/>
      <w:jc w:val="center"/>
      <w:rPr>
        <w:rFonts w:cs="FrankRuehl"/>
        <w:noProof w:val="0"/>
        <w:sz w:val="28"/>
        <w:szCs w:val="28"/>
        <w:rtl/>
      </w:rPr>
    </w:pPr>
    <w:r>
      <w:rPr>
        <w:rFonts w:cs="FrankRuehl"/>
        <w:sz w:val="28"/>
        <w:szCs w:val="28"/>
      </w:rPr>
      <w:drawing>
        <wp:inline distT="0" distB="0" distL="0" distR="0" wp14:anchorId="0313E02F" wp14:editId="2C8C2B4A">
          <wp:extent cx="374015" cy="469265"/>
          <wp:effectExtent l="0" t="0" r="6985" b="698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197E65">
      <w:trPr>
        <w:trHeight w:hRule="exact" w:val="418"/>
        <w:jc w:val="center"/>
      </w:trPr>
      <w:sdt>
        <w:sdtPr>
          <w:rPr>
            <w:rtl/>
          </w:rPr>
          <w:alias w:val="1174"/>
          <w:tag w:val="1174"/>
          <w:id w:val="222578223"/>
          <w:text/>
        </w:sdtPr>
        <w:sdtEndPr/>
        <w:sdtContent>
          <w:tc>
            <w:tcPr>
              <w:tcW w:w="8721" w:type="dxa"/>
              <w:gridSpan w:val="2"/>
            </w:tcPr>
            <w:p w:rsidR="00197E65" w:rsidRDefault="00296D76">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197E65">
      <w:trPr>
        <w:trHeight w:val="337"/>
        <w:jc w:val="center"/>
      </w:trPr>
      <w:tc>
        <w:tcPr>
          <w:tcW w:w="5047" w:type="dxa"/>
        </w:tcPr>
        <w:p w:rsidR="00197E65" w:rsidRDefault="00EE7D64">
          <w:pPr>
            <w:rPr>
              <w:b/>
              <w:bCs/>
              <w:noProof w:val="0"/>
              <w:sz w:val="26"/>
              <w:szCs w:val="26"/>
              <w:rtl/>
            </w:rPr>
          </w:pPr>
        </w:p>
      </w:tc>
      <w:tc>
        <w:tcPr>
          <w:tcW w:w="3674" w:type="dxa"/>
        </w:tcPr>
        <w:p w:rsidR="00197E65" w:rsidRDefault="00EE7D64">
          <w:pPr>
            <w:pStyle w:val="a3"/>
            <w:jc w:val="right"/>
            <w:rPr>
              <w:b/>
              <w:bCs/>
              <w:noProof w:val="0"/>
              <w:sz w:val="26"/>
              <w:szCs w:val="26"/>
              <w:rtl/>
            </w:rPr>
          </w:pPr>
        </w:p>
      </w:tc>
    </w:tr>
    <w:tr w:rsidR="00197E65">
      <w:trPr>
        <w:trHeight w:val="337"/>
        <w:jc w:val="center"/>
      </w:trPr>
      <w:tc>
        <w:tcPr>
          <w:tcW w:w="8721" w:type="dxa"/>
          <w:gridSpan w:val="2"/>
        </w:tcPr>
        <w:p w:rsidR="00197E65" w:rsidRPr="00A910A1" w:rsidRDefault="00EE7D64" w:rsidP="003D5153">
          <w:pPr>
            <w:rPr>
              <w:rFonts w:ascii="FrankRuehl" w:hAnsi="FrankRuehl" w:cs="FrankRuehl"/>
              <w:sz w:val="28"/>
              <w:szCs w:val="28"/>
              <w:rtl/>
            </w:rPr>
          </w:pPr>
          <w:sdt>
            <w:sdtPr>
              <w:rPr>
                <w:rFonts w:ascii="FrankRuehl" w:hAnsi="FrankRuehl" w:cs="FrankRuehl"/>
                <w:sz w:val="28"/>
                <w:szCs w:val="28"/>
                <w:rtl/>
              </w:rPr>
              <w:alias w:val="1170"/>
              <w:tag w:val="1170"/>
              <w:id w:val="-984775694"/>
              <w:text w:multiLine="1"/>
            </w:sdtPr>
            <w:sdtEndPr/>
            <w:sdtContent>
              <w:r w:rsidR="00296D76" w:rsidRPr="00A910A1">
                <w:rPr>
                  <w:rFonts w:ascii="FrankRuehl" w:hAnsi="FrankRuehl" w:cs="FrankRuehl"/>
                  <w:b/>
                  <w:bCs/>
                  <w:noProof w:val="0"/>
                  <w:sz w:val="28"/>
                  <w:szCs w:val="28"/>
                  <w:rtl/>
                </w:rPr>
                <w:t>תמ"ש</w:t>
              </w:r>
            </w:sdtContent>
          </w:sdt>
          <w:r w:rsidR="00296D76" w:rsidRPr="00A910A1">
            <w:rPr>
              <w:rFonts w:ascii="FrankRuehl" w:hAnsi="FrankRuehl" w:cs="FrankRuehl"/>
              <w:b/>
              <w:bCs/>
              <w:noProof w:val="0"/>
              <w:sz w:val="30"/>
              <w:szCs w:val="30"/>
              <w:rtl/>
            </w:rPr>
            <w:t xml:space="preserve"> </w:t>
          </w:r>
          <w:bookmarkStart w:id="0" w:name="_GoBack"/>
          <w:sdt>
            <w:sdtPr>
              <w:rPr>
                <w:rFonts w:ascii="FrankRuehl" w:hAnsi="FrankRuehl" w:cs="FrankRuehl"/>
                <w:sz w:val="28"/>
                <w:szCs w:val="28"/>
                <w:rtl/>
              </w:rPr>
              <w:alias w:val="1171"/>
              <w:tag w:val="1171"/>
              <w:id w:val="1025217868"/>
              <w:text w:multiLine="1"/>
            </w:sdtPr>
            <w:sdtEndPr/>
            <w:sdtContent>
              <w:r w:rsidR="00296D76" w:rsidRPr="00A910A1">
                <w:rPr>
                  <w:rFonts w:ascii="FrankRuehl" w:hAnsi="FrankRuehl" w:cs="FrankRuehl"/>
                  <w:b/>
                  <w:bCs/>
                  <w:noProof w:val="0"/>
                  <w:sz w:val="28"/>
                  <w:szCs w:val="28"/>
                  <w:rtl/>
                </w:rPr>
                <w:t>5196-07-21</w:t>
              </w:r>
            </w:sdtContent>
          </w:sdt>
          <w:bookmarkEnd w:id="0"/>
          <w:r w:rsidR="00296D76" w:rsidRPr="00A910A1">
            <w:rPr>
              <w:rFonts w:ascii="FrankRuehl" w:hAnsi="FrankRuehl" w:cs="FrankRuehl"/>
              <w:b/>
              <w:bCs/>
              <w:noProof w:val="0"/>
              <w:sz w:val="30"/>
              <w:szCs w:val="30"/>
              <w:rtl/>
            </w:rPr>
            <w:t xml:space="preserve"> </w:t>
          </w:r>
          <w:sdt>
            <w:sdtPr>
              <w:rPr>
                <w:rFonts w:ascii="FrankRuehl" w:hAnsi="FrankRuehl" w:cs="FrankRuehl"/>
                <w:sz w:val="28"/>
                <w:szCs w:val="28"/>
                <w:rtl/>
              </w:rPr>
              <w:alias w:val="1172"/>
              <w:tag w:val="1172"/>
              <w:id w:val="-673653942"/>
              <w:text w:multiLine="1"/>
            </w:sdtPr>
            <w:sdtEndPr/>
            <w:sdtContent>
              <w:r w:rsidR="00296D76" w:rsidRPr="00A910A1">
                <w:rPr>
                  <w:rFonts w:ascii="FrankRuehl" w:hAnsi="FrankRuehl" w:cs="FrankRuehl"/>
                  <w:b/>
                  <w:bCs/>
                  <w:noProof w:val="0"/>
                  <w:sz w:val="28"/>
                  <w:szCs w:val="28"/>
                  <w:rtl/>
                </w:rPr>
                <w:t>ש</w:t>
              </w:r>
              <w:r w:rsidR="003D5153">
                <w:rPr>
                  <w:rFonts w:ascii="FrankRuehl" w:hAnsi="FrankRuehl" w:cs="FrankRuehl" w:hint="cs"/>
                  <w:b/>
                  <w:bCs/>
                  <w:noProof w:val="0"/>
                  <w:sz w:val="28"/>
                  <w:szCs w:val="28"/>
                  <w:rtl/>
                </w:rPr>
                <w:t>.</w:t>
              </w:r>
              <w:r w:rsidR="00296D76" w:rsidRPr="00A910A1">
                <w:rPr>
                  <w:rFonts w:ascii="FrankRuehl" w:hAnsi="FrankRuehl" w:cs="FrankRuehl"/>
                  <w:b/>
                  <w:bCs/>
                  <w:noProof w:val="0"/>
                  <w:sz w:val="28"/>
                  <w:szCs w:val="28"/>
                  <w:rtl/>
                </w:rPr>
                <w:t xml:space="preserve"> ל</w:t>
              </w:r>
              <w:r w:rsidR="003D5153">
                <w:rPr>
                  <w:rFonts w:ascii="FrankRuehl" w:hAnsi="FrankRuehl" w:cs="FrankRuehl" w:hint="cs"/>
                  <w:b/>
                  <w:bCs/>
                  <w:noProof w:val="0"/>
                  <w:sz w:val="28"/>
                  <w:szCs w:val="28"/>
                  <w:rtl/>
                </w:rPr>
                <w:t>.</w:t>
              </w:r>
              <w:r w:rsidR="00296D76" w:rsidRPr="00A910A1">
                <w:rPr>
                  <w:rFonts w:ascii="FrankRuehl" w:hAnsi="FrankRuehl" w:cs="FrankRuehl"/>
                  <w:b/>
                  <w:bCs/>
                  <w:noProof w:val="0"/>
                  <w:sz w:val="28"/>
                  <w:szCs w:val="28"/>
                  <w:rtl/>
                </w:rPr>
                <w:t xml:space="preserve"> נ' ג</w:t>
              </w:r>
              <w:r w:rsidR="003D5153">
                <w:rPr>
                  <w:rFonts w:ascii="FrankRuehl" w:hAnsi="FrankRuehl" w:cs="FrankRuehl" w:hint="cs"/>
                  <w:b/>
                  <w:bCs/>
                  <w:noProof w:val="0"/>
                  <w:sz w:val="28"/>
                  <w:szCs w:val="28"/>
                  <w:rtl/>
                </w:rPr>
                <w:t>.</w:t>
              </w:r>
            </w:sdtContent>
          </w:sdt>
        </w:p>
        <w:p w:rsidR="00197E65" w:rsidRPr="00A910A1" w:rsidRDefault="00EE7D64" w:rsidP="003B363C">
          <w:pPr>
            <w:rPr>
              <w:rFonts w:ascii="FrankRuehl" w:hAnsi="FrankRuehl" w:cs="FrankRuehl"/>
              <w:b/>
              <w:bCs/>
              <w:sz w:val="28"/>
              <w:szCs w:val="28"/>
              <w:rtl/>
            </w:rPr>
          </w:pPr>
        </w:p>
        <w:p w:rsidR="00197E65" w:rsidRDefault="00296D76" w:rsidP="003B363C">
          <w:pPr>
            <w:spacing w:line="360" w:lineRule="auto"/>
            <w:rPr>
              <w:rtl/>
            </w:rPr>
          </w:pPr>
          <w:r w:rsidRPr="00A910A1">
            <w:rPr>
              <w:rFonts w:ascii="FrankRuehl" w:hAnsi="FrankRuehl" w:cs="FrankRuehl"/>
              <w:b/>
              <w:bCs/>
              <w:sz w:val="32"/>
              <w:szCs w:val="32"/>
              <w:u w:val="single"/>
              <w:rtl/>
            </w:rPr>
            <w:t>לפני כבוד השופט ארז שני</w:t>
          </w:r>
        </w:p>
      </w:tc>
    </w:tr>
  </w:tbl>
  <w:p w:rsidR="00197E65" w:rsidRDefault="00296D76">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789" w:rsidRDefault="007F278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F6072"/>
    <w:multiLevelType w:val="hybridMultilevel"/>
    <w:tmpl w:val="3BA2165E"/>
    <w:lvl w:ilvl="0" w:tplc="5DDC1CDA">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153"/>
    <w:rsid w:val="00170C9A"/>
    <w:rsid w:val="00296D76"/>
    <w:rsid w:val="003079DC"/>
    <w:rsid w:val="003D5153"/>
    <w:rsid w:val="007F2789"/>
    <w:rsid w:val="00BF3D5E"/>
    <w:rsid w:val="00C17000"/>
    <w:rsid w:val="00CE23B1"/>
    <w:rsid w:val="00EE7D64"/>
    <w:rsid w:val="00FB490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993E634-7DA3-48AF-81BE-FF492B3AD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153"/>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D5153"/>
    <w:pPr>
      <w:tabs>
        <w:tab w:val="center" w:pos="4153"/>
        <w:tab w:val="right" w:pos="8306"/>
      </w:tabs>
    </w:pPr>
  </w:style>
  <w:style w:type="character" w:customStyle="1" w:styleId="a4">
    <w:name w:val="כותרת עליונה תו"/>
    <w:basedOn w:val="a0"/>
    <w:link w:val="a3"/>
    <w:rsid w:val="003D5153"/>
    <w:rPr>
      <w:rFonts w:ascii="Times New Roman" w:eastAsia="Times New Roman" w:hAnsi="Times New Roman" w:cs="David"/>
      <w:noProof/>
      <w:sz w:val="24"/>
      <w:szCs w:val="24"/>
    </w:rPr>
  </w:style>
  <w:style w:type="paragraph" w:styleId="a5">
    <w:name w:val="footer"/>
    <w:basedOn w:val="a"/>
    <w:link w:val="a6"/>
    <w:rsid w:val="003D5153"/>
    <w:pPr>
      <w:tabs>
        <w:tab w:val="center" w:pos="4153"/>
        <w:tab w:val="right" w:pos="8306"/>
      </w:tabs>
    </w:pPr>
  </w:style>
  <w:style w:type="character" w:customStyle="1" w:styleId="a6">
    <w:name w:val="כותרת תחתונה תו"/>
    <w:basedOn w:val="a0"/>
    <w:link w:val="a5"/>
    <w:rsid w:val="003D5153"/>
    <w:rPr>
      <w:rFonts w:ascii="Times New Roman" w:eastAsia="Times New Roman" w:hAnsi="Times New Roman" w:cs="David"/>
      <w:noProof/>
      <w:sz w:val="24"/>
      <w:szCs w:val="24"/>
    </w:rPr>
  </w:style>
  <w:style w:type="table" w:styleId="a7">
    <w:name w:val="Table Grid"/>
    <w:basedOn w:val="a1"/>
    <w:rsid w:val="003D5153"/>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3D5153"/>
  </w:style>
  <w:style w:type="character" w:styleId="a9">
    <w:name w:val="Placeholder Text"/>
    <w:basedOn w:val="a0"/>
    <w:uiPriority w:val="99"/>
    <w:semiHidden/>
    <w:rsid w:val="003D5153"/>
    <w:rPr>
      <w:color w:val="808080"/>
    </w:rPr>
  </w:style>
  <w:style w:type="paragraph" w:styleId="aa">
    <w:name w:val="List Paragraph"/>
    <w:basedOn w:val="a"/>
    <w:uiPriority w:val="34"/>
    <w:qFormat/>
    <w:rsid w:val="003D5153"/>
    <w:pPr>
      <w:ind w:left="720"/>
      <w:contextualSpacing/>
    </w:pPr>
  </w:style>
  <w:style w:type="character" w:styleId="Hyperlink">
    <w:name w:val="Hyperlink"/>
    <w:semiHidden/>
    <w:unhideWhenUsed/>
    <w:rsid w:val="003D5153"/>
    <w:rPr>
      <w:color w:val="0000FF"/>
      <w:u w:val="single"/>
    </w:rPr>
  </w:style>
  <w:style w:type="paragraph" w:customStyle="1" w:styleId="Ruller5">
    <w:name w:val="Ruller5"/>
    <w:basedOn w:val="a"/>
    <w:rsid w:val="003D5153"/>
    <w:pPr>
      <w:overflowPunct w:val="0"/>
      <w:autoSpaceDE w:val="0"/>
      <w:autoSpaceDN w:val="0"/>
      <w:adjustRightInd w:val="0"/>
      <w:ind w:left="1642" w:right="1282"/>
      <w:jc w:val="both"/>
    </w:pPr>
    <w:rPr>
      <w:rFonts w:ascii="Arial TUR" w:hAnsi="Arial TUR" w:cs="FrankRuehl"/>
      <w:noProof w:val="0"/>
      <w:spacing w:val="10"/>
      <w:sz w:val="22"/>
      <w:szCs w:val="28"/>
    </w:rPr>
  </w:style>
  <w:style w:type="character" w:customStyle="1" w:styleId="Ruller4">
    <w:name w:val="Ruller4 תו"/>
    <w:link w:val="Ruller40"/>
    <w:locked/>
    <w:rsid w:val="003D5153"/>
    <w:rPr>
      <w:rFonts w:ascii="Arial TUR" w:hAnsi="Arial TUR" w:cs="FrankRuehl"/>
      <w:spacing w:val="10"/>
      <w:szCs w:val="28"/>
    </w:rPr>
  </w:style>
  <w:style w:type="paragraph" w:customStyle="1" w:styleId="Ruller40">
    <w:name w:val="Ruller4"/>
    <w:basedOn w:val="a"/>
    <w:link w:val="Ruller4"/>
    <w:rsid w:val="003D5153"/>
    <w:pPr>
      <w:tabs>
        <w:tab w:val="left" w:pos="800"/>
      </w:tabs>
      <w:overflowPunct w:val="0"/>
      <w:autoSpaceDE w:val="0"/>
      <w:autoSpaceDN w:val="0"/>
      <w:adjustRightInd w:val="0"/>
      <w:spacing w:line="360" w:lineRule="auto"/>
      <w:jc w:val="both"/>
    </w:pPr>
    <w:rPr>
      <w:rFonts w:ascii="Arial TUR" w:eastAsiaTheme="minorHAnsi" w:hAnsi="Arial TUR" w:cs="FrankRuehl"/>
      <w:noProof w:val="0"/>
      <w:spacing w:val="10"/>
      <w:sz w:val="22"/>
      <w:szCs w:val="28"/>
    </w:rPr>
  </w:style>
  <w:style w:type="paragraph" w:customStyle="1" w:styleId="ruller400">
    <w:name w:val="ruller40"/>
    <w:basedOn w:val="a"/>
    <w:rsid w:val="003D5153"/>
    <w:pPr>
      <w:bidi w:val="0"/>
      <w:spacing w:before="100" w:beforeAutospacing="1" w:after="100" w:afterAutospacing="1"/>
    </w:pPr>
    <w:rPr>
      <w:rFonts w:cs="Times New Roman"/>
      <w:noProof w:val="0"/>
    </w:rPr>
  </w:style>
  <w:style w:type="paragraph" w:customStyle="1" w:styleId="ruller50">
    <w:name w:val="ruller5"/>
    <w:basedOn w:val="a"/>
    <w:rsid w:val="003D5153"/>
    <w:pPr>
      <w:bidi w:val="0"/>
      <w:spacing w:before="100" w:beforeAutospacing="1" w:after="100" w:afterAutospacing="1"/>
    </w:pPr>
    <w:rPr>
      <w:rFonts w:cs="Times New Roman"/>
      <w:noProof w:val="0"/>
    </w:rPr>
  </w:style>
  <w:style w:type="character" w:styleId="ab">
    <w:name w:val="line number"/>
    <w:basedOn w:val="a0"/>
    <w:uiPriority w:val="99"/>
    <w:semiHidden/>
    <w:unhideWhenUsed/>
    <w:rsid w:val="003D5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2138" TargetMode="External"/><Relationship Id="rId13" Type="http://schemas.openxmlformats.org/officeDocument/2006/relationships/hyperlink" Target="http://www.nevo.co.il/law/72138/5.a" TargetMode="External"/><Relationship Id="rId18" Type="http://schemas.openxmlformats.org/officeDocument/2006/relationships/image" Target="media/image1.jpg"/><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nevo.co.il/law/72138" TargetMode="External"/><Relationship Id="rId12" Type="http://schemas.openxmlformats.org/officeDocument/2006/relationships/hyperlink" Target="http://www.nevo.co.il/law/72138/8" TargetMode="External"/><Relationship Id="rId17" Type="http://schemas.openxmlformats.org/officeDocument/2006/relationships/hyperlink" Target="http://www.nevo.co.il/case/622398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nevo.co.il/law/72138"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aw/72138/5.a"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nevo.co.il/case/6241292" TargetMode="External"/><Relationship Id="rId23" Type="http://schemas.openxmlformats.org/officeDocument/2006/relationships/header" Target="header3.xml"/><Relationship Id="rId10" Type="http://schemas.openxmlformats.org/officeDocument/2006/relationships/hyperlink" Target="http://www.nevo.co.il/law/72138/3"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evo.co.il/law/72138/1;2" TargetMode="External"/><Relationship Id="rId14" Type="http://schemas.openxmlformats.org/officeDocument/2006/relationships/hyperlink" Target="http://www.nevo.co.il/law/72138" TargetMode="External"/><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69C13C386594638AFE1EF939D16F24A"/>
        <w:category>
          <w:name w:val="כללי"/>
          <w:gallery w:val="placeholder"/>
        </w:category>
        <w:types>
          <w:type w:val="bbPlcHdr"/>
        </w:types>
        <w:behaviors>
          <w:behavior w:val="content"/>
        </w:behaviors>
        <w:guid w:val="{CE2D699E-A1FC-4415-A1CF-69C54F86E2F5}"/>
      </w:docPartPr>
      <w:docPartBody>
        <w:p w:rsidR="00B06CD2" w:rsidRDefault="005B4FE6" w:rsidP="005B4FE6">
          <w:pPr>
            <w:pStyle w:val="969C13C386594638AFE1EF939D16F24A"/>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TUR">
    <w:altName w:val="Microsoft Sans Serif"/>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MS Mincho">
    <w:altName w:val="Yu Gothic UI"/>
    <w:panose1 w:val="02020609040205080304"/>
    <w:charset w:val="80"/>
    <w:family w:val="roman"/>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FE6"/>
    <w:rsid w:val="00256A5E"/>
    <w:rsid w:val="003617B3"/>
    <w:rsid w:val="005B4FE6"/>
    <w:rsid w:val="00A41B90"/>
    <w:rsid w:val="00B06CD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B4FE6"/>
    <w:rPr>
      <w:color w:val="808080"/>
    </w:rPr>
  </w:style>
  <w:style w:type="paragraph" w:customStyle="1" w:styleId="969C13C386594638AFE1EF939D16F24A">
    <w:name w:val="969C13C386594638AFE1EF939D16F24A"/>
    <w:rsid w:val="005B4FE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3756</Words>
  <Characters>18783</Characters>
  <Application>Microsoft Office Word</Application>
  <DocSecurity>0</DocSecurity>
  <Lines>156</Lines>
  <Paragraphs>44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2023-09-20T08:25:00Z</dcterms:created>
  <dcterms:modified xsi:type="dcterms:W3CDTF">2023-09-20T08:25:00Z</dcterms:modified>
</cp:coreProperties>
</file>